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56" w:rsidRPr="00380556" w:rsidRDefault="00380556" w:rsidP="00380556">
      <w:pPr>
        <w:pBdr>
          <w:bottom w:val="single" w:sz="6" w:space="1" w:color="auto"/>
        </w:pBdr>
        <w:spacing w:after="0" w:line="240" w:lineRule="auto"/>
        <w:jc w:val="center"/>
        <w:rPr>
          <w:rFonts w:ascii="Arial" w:eastAsia="Times New Roman" w:hAnsi="Arial" w:cs="Arial"/>
          <w:vanish/>
          <w:sz w:val="16"/>
          <w:szCs w:val="16"/>
          <w:lang w:eastAsia="pl-PL"/>
        </w:rPr>
      </w:pPr>
      <w:r w:rsidRPr="00380556">
        <w:rPr>
          <w:rFonts w:ascii="Arial" w:eastAsia="Times New Roman" w:hAnsi="Arial" w:cs="Arial"/>
          <w:vanish/>
          <w:sz w:val="16"/>
          <w:szCs w:val="16"/>
          <w:lang w:eastAsia="pl-PL"/>
        </w:rPr>
        <w:t>Początek formularza</w:t>
      </w:r>
    </w:p>
    <w:p w:rsidR="00380556" w:rsidRPr="00380556" w:rsidRDefault="00380556" w:rsidP="00380556">
      <w:pPr>
        <w:spacing w:after="24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t xml:space="preserve">Ogłoszenie nr 503384-N-2020 z dnia 2020-01-20 r. </w:t>
      </w:r>
    </w:p>
    <w:p w:rsidR="00380556" w:rsidRPr="00380556" w:rsidRDefault="00380556" w:rsidP="00380556">
      <w:pPr>
        <w:spacing w:after="0" w:line="240" w:lineRule="auto"/>
        <w:jc w:val="center"/>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Gmina Wojsławice: Aranżacja i wyposażenie wnętrza Synagogi w celu przystosowania na Izbę Tradycji Ziemi Wojsławickiej </w:t>
      </w:r>
      <w:r w:rsidRPr="00380556">
        <w:rPr>
          <w:rFonts w:ascii="Times New Roman" w:eastAsia="Times New Roman" w:hAnsi="Times New Roman" w:cs="Times New Roman"/>
          <w:sz w:val="24"/>
          <w:szCs w:val="24"/>
          <w:lang w:eastAsia="pl-PL"/>
        </w:rPr>
        <w:br/>
        <w:t xml:space="preserve">OGŁOSZENIE O ZAMÓWIENIU - Dostawy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Zamieszczanie ogłoszenia:</w:t>
      </w:r>
      <w:r w:rsidRPr="00380556">
        <w:rPr>
          <w:rFonts w:ascii="Times New Roman" w:eastAsia="Times New Roman" w:hAnsi="Times New Roman" w:cs="Times New Roman"/>
          <w:sz w:val="24"/>
          <w:szCs w:val="24"/>
          <w:lang w:eastAsia="pl-PL"/>
        </w:rPr>
        <w:t xml:space="preserve"> Zamieszczanie obowiązkowe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Ogłoszenie dotyczy:</w:t>
      </w:r>
      <w:r w:rsidRPr="00380556">
        <w:rPr>
          <w:rFonts w:ascii="Times New Roman" w:eastAsia="Times New Roman" w:hAnsi="Times New Roman" w:cs="Times New Roman"/>
          <w:sz w:val="24"/>
          <w:szCs w:val="24"/>
          <w:lang w:eastAsia="pl-PL"/>
        </w:rPr>
        <w:t xml:space="preserve"> Zamówienia publicznego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Tak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Nazwa projektu lub programu</w:t>
      </w:r>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t xml:space="preserve">Regionalny Program Operacyjny Województwa Lubelskiego na lata 2014-2020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Nie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80556">
        <w:rPr>
          <w:rFonts w:ascii="Times New Roman" w:eastAsia="Times New Roman" w:hAnsi="Times New Roman" w:cs="Times New Roman"/>
          <w:sz w:val="24"/>
          <w:szCs w:val="24"/>
          <w:lang w:eastAsia="pl-PL"/>
        </w:rPr>
        <w:t>Pzp</w:t>
      </w:r>
      <w:proofErr w:type="spellEnd"/>
      <w:r w:rsidRPr="0038055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80556">
        <w:rPr>
          <w:rFonts w:ascii="Times New Roman" w:eastAsia="Times New Roman" w:hAnsi="Times New Roman" w:cs="Times New Roman"/>
          <w:sz w:val="24"/>
          <w:szCs w:val="24"/>
          <w:lang w:eastAsia="pl-PL"/>
        </w:rPr>
        <w:br/>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u w:val="single"/>
          <w:lang w:eastAsia="pl-PL"/>
        </w:rPr>
        <w:t>SEKCJA I: ZAMAWIAJĄCY</w:t>
      </w:r>
      <w:r w:rsidRPr="00380556">
        <w:rPr>
          <w:rFonts w:ascii="Times New Roman" w:eastAsia="Times New Roman" w:hAnsi="Times New Roman" w:cs="Times New Roman"/>
          <w:sz w:val="24"/>
          <w:szCs w:val="24"/>
          <w:lang w:eastAsia="pl-PL"/>
        </w:rPr>
        <w:t xml:space="preserve">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 xml:space="preserve">Postępowanie przeprowadza centralny zamawiający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Nie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Nie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Informacje na temat podmiotu któremu zamawiający powierzył/powierzyli prowadzenie postępowania:</w:t>
      </w:r>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Postępowanie jest przeprowadzane wspólnie przez zamawiających</w:t>
      </w:r>
      <w:r w:rsidRPr="00380556">
        <w:rPr>
          <w:rFonts w:ascii="Times New Roman" w:eastAsia="Times New Roman" w:hAnsi="Times New Roman" w:cs="Times New Roman"/>
          <w:sz w:val="24"/>
          <w:szCs w:val="24"/>
          <w:lang w:eastAsia="pl-PL"/>
        </w:rPr>
        <w:t xml:space="preserve">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Nie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Nie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Informacje dodatkowe:</w:t>
      </w:r>
      <w:r w:rsidRPr="00380556">
        <w:rPr>
          <w:rFonts w:ascii="Times New Roman" w:eastAsia="Times New Roman" w:hAnsi="Times New Roman" w:cs="Times New Roman"/>
          <w:sz w:val="24"/>
          <w:szCs w:val="24"/>
          <w:lang w:eastAsia="pl-PL"/>
        </w:rPr>
        <w:t xml:space="preserve">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 xml:space="preserve">I. 1) NAZWA I ADRES: </w:t>
      </w:r>
      <w:r w:rsidRPr="00380556">
        <w:rPr>
          <w:rFonts w:ascii="Times New Roman" w:eastAsia="Times New Roman" w:hAnsi="Times New Roman" w:cs="Times New Roman"/>
          <w:sz w:val="24"/>
          <w:szCs w:val="24"/>
          <w:lang w:eastAsia="pl-PL"/>
        </w:rPr>
        <w:t xml:space="preserve">Gmina Wojsławice, krajowy numer identyfikacyjny 11019798300000, ul. ul. Rynek  30 , 22-120  Wojsławice, woj. lubelskie, państwo Polska, tel. 825 669 102, e-mail snizio@wojslawice.eurzad.eu, faks 825 669 102.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lastRenderedPageBreak/>
        <w:t xml:space="preserve">Adres strony internetowej (URL): www.ugwojslawice.bip.lubelskie.pl </w:t>
      </w:r>
      <w:r w:rsidRPr="00380556">
        <w:rPr>
          <w:rFonts w:ascii="Times New Roman" w:eastAsia="Times New Roman" w:hAnsi="Times New Roman" w:cs="Times New Roman"/>
          <w:sz w:val="24"/>
          <w:szCs w:val="24"/>
          <w:lang w:eastAsia="pl-PL"/>
        </w:rPr>
        <w:br/>
        <w:t xml:space="preserve">Adres profilu nabywcy: </w:t>
      </w:r>
      <w:r w:rsidRPr="0038055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 xml:space="preserve">I. 2) RODZAJ ZAMAWIAJĄCEGO: </w:t>
      </w:r>
      <w:r w:rsidRPr="00380556">
        <w:rPr>
          <w:rFonts w:ascii="Times New Roman" w:eastAsia="Times New Roman" w:hAnsi="Times New Roman" w:cs="Times New Roman"/>
          <w:sz w:val="24"/>
          <w:szCs w:val="24"/>
          <w:lang w:eastAsia="pl-PL"/>
        </w:rPr>
        <w:t xml:space="preserve">Administracja samorządowa </w:t>
      </w:r>
      <w:r w:rsidRPr="00380556">
        <w:rPr>
          <w:rFonts w:ascii="Times New Roman" w:eastAsia="Times New Roman" w:hAnsi="Times New Roman" w:cs="Times New Roman"/>
          <w:sz w:val="24"/>
          <w:szCs w:val="24"/>
          <w:lang w:eastAsia="pl-PL"/>
        </w:rPr>
        <w:br/>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 xml:space="preserve">I.3) WSPÓLNE UDZIELANIE ZAMÓWIENIA </w:t>
      </w:r>
      <w:r w:rsidRPr="00380556">
        <w:rPr>
          <w:rFonts w:ascii="Times New Roman" w:eastAsia="Times New Roman" w:hAnsi="Times New Roman" w:cs="Times New Roman"/>
          <w:b/>
          <w:bCs/>
          <w:i/>
          <w:iCs/>
          <w:sz w:val="24"/>
          <w:szCs w:val="24"/>
          <w:lang w:eastAsia="pl-PL"/>
        </w:rPr>
        <w:t>(jeżeli dotyczy)</w:t>
      </w:r>
      <w:r w:rsidRPr="00380556">
        <w:rPr>
          <w:rFonts w:ascii="Times New Roman" w:eastAsia="Times New Roman" w:hAnsi="Times New Roman" w:cs="Times New Roman"/>
          <w:b/>
          <w:bCs/>
          <w:sz w:val="24"/>
          <w:szCs w:val="24"/>
          <w:lang w:eastAsia="pl-PL"/>
        </w:rPr>
        <w:t xml:space="preserve">: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80556">
        <w:rPr>
          <w:rFonts w:ascii="Times New Roman" w:eastAsia="Times New Roman" w:hAnsi="Times New Roman" w:cs="Times New Roman"/>
          <w:sz w:val="24"/>
          <w:szCs w:val="24"/>
          <w:lang w:eastAsia="pl-PL"/>
        </w:rPr>
        <w:br/>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 xml:space="preserve">I.4) KOMUNIKACJA: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80556">
        <w:rPr>
          <w:rFonts w:ascii="Times New Roman" w:eastAsia="Times New Roman" w:hAnsi="Times New Roman" w:cs="Times New Roman"/>
          <w:sz w:val="24"/>
          <w:szCs w:val="24"/>
          <w:lang w:eastAsia="pl-PL"/>
        </w:rPr>
        <w:t xml:space="preserve">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Tak </w:t>
      </w:r>
      <w:r w:rsidRPr="00380556">
        <w:rPr>
          <w:rFonts w:ascii="Times New Roman" w:eastAsia="Times New Roman" w:hAnsi="Times New Roman" w:cs="Times New Roman"/>
          <w:sz w:val="24"/>
          <w:szCs w:val="24"/>
          <w:lang w:eastAsia="pl-PL"/>
        </w:rPr>
        <w:br/>
        <w:t xml:space="preserve">www.ugwojslawice.bip.lubelskie.pl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Tak </w:t>
      </w:r>
      <w:r w:rsidRPr="00380556">
        <w:rPr>
          <w:rFonts w:ascii="Times New Roman" w:eastAsia="Times New Roman" w:hAnsi="Times New Roman" w:cs="Times New Roman"/>
          <w:sz w:val="24"/>
          <w:szCs w:val="24"/>
          <w:lang w:eastAsia="pl-PL"/>
        </w:rPr>
        <w:br/>
        <w:t xml:space="preserve">www.ugwojslawice.bip.lubelskie.pl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Nie </w:t>
      </w:r>
      <w:r w:rsidRPr="00380556">
        <w:rPr>
          <w:rFonts w:ascii="Times New Roman" w:eastAsia="Times New Roman" w:hAnsi="Times New Roman" w:cs="Times New Roman"/>
          <w:sz w:val="24"/>
          <w:szCs w:val="24"/>
          <w:lang w:eastAsia="pl-PL"/>
        </w:rPr>
        <w:br/>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Oferty lub wnioski o dopuszczenie do udziału w postępowaniu należy przesyłać:</w:t>
      </w:r>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Elektronicznie</w:t>
      </w:r>
      <w:r w:rsidRPr="00380556">
        <w:rPr>
          <w:rFonts w:ascii="Times New Roman" w:eastAsia="Times New Roman" w:hAnsi="Times New Roman" w:cs="Times New Roman"/>
          <w:sz w:val="24"/>
          <w:szCs w:val="24"/>
          <w:lang w:eastAsia="pl-PL"/>
        </w:rPr>
        <w:t xml:space="preserve">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Nie </w:t>
      </w:r>
      <w:r w:rsidRPr="00380556">
        <w:rPr>
          <w:rFonts w:ascii="Times New Roman" w:eastAsia="Times New Roman" w:hAnsi="Times New Roman" w:cs="Times New Roman"/>
          <w:sz w:val="24"/>
          <w:szCs w:val="24"/>
          <w:lang w:eastAsia="pl-PL"/>
        </w:rPr>
        <w:br/>
        <w:t xml:space="preserve">adres </w:t>
      </w:r>
      <w:r w:rsidRPr="00380556">
        <w:rPr>
          <w:rFonts w:ascii="Times New Roman" w:eastAsia="Times New Roman" w:hAnsi="Times New Roman" w:cs="Times New Roman"/>
          <w:sz w:val="24"/>
          <w:szCs w:val="24"/>
          <w:lang w:eastAsia="pl-PL"/>
        </w:rPr>
        <w:br/>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t xml:space="preserve">Nie </w:t>
      </w:r>
      <w:r w:rsidRPr="00380556">
        <w:rPr>
          <w:rFonts w:ascii="Times New Roman" w:eastAsia="Times New Roman" w:hAnsi="Times New Roman" w:cs="Times New Roman"/>
          <w:sz w:val="24"/>
          <w:szCs w:val="24"/>
          <w:lang w:eastAsia="pl-PL"/>
        </w:rPr>
        <w:br/>
        <w:t xml:space="preserve">Inny sposób: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t xml:space="preserve">Tak </w:t>
      </w:r>
      <w:r w:rsidRPr="00380556">
        <w:rPr>
          <w:rFonts w:ascii="Times New Roman" w:eastAsia="Times New Roman" w:hAnsi="Times New Roman" w:cs="Times New Roman"/>
          <w:sz w:val="24"/>
          <w:szCs w:val="24"/>
          <w:lang w:eastAsia="pl-PL"/>
        </w:rPr>
        <w:br/>
        <w:t xml:space="preserve">Inny sposób: </w:t>
      </w:r>
      <w:r w:rsidRPr="00380556">
        <w:rPr>
          <w:rFonts w:ascii="Times New Roman" w:eastAsia="Times New Roman" w:hAnsi="Times New Roman" w:cs="Times New Roman"/>
          <w:sz w:val="24"/>
          <w:szCs w:val="24"/>
          <w:lang w:eastAsia="pl-PL"/>
        </w:rPr>
        <w:br/>
        <w:t xml:space="preserve">Ofertę należy przygotować w formie pisemnej w języku polskim </w:t>
      </w:r>
      <w:r w:rsidRPr="00380556">
        <w:rPr>
          <w:rFonts w:ascii="Times New Roman" w:eastAsia="Times New Roman" w:hAnsi="Times New Roman" w:cs="Times New Roman"/>
          <w:sz w:val="24"/>
          <w:szCs w:val="24"/>
          <w:lang w:eastAsia="pl-PL"/>
        </w:rPr>
        <w:br/>
        <w:t xml:space="preserve">Adres: </w:t>
      </w:r>
      <w:r w:rsidRPr="00380556">
        <w:rPr>
          <w:rFonts w:ascii="Times New Roman" w:eastAsia="Times New Roman" w:hAnsi="Times New Roman" w:cs="Times New Roman"/>
          <w:sz w:val="24"/>
          <w:szCs w:val="24"/>
          <w:lang w:eastAsia="pl-PL"/>
        </w:rPr>
        <w:br/>
        <w:t xml:space="preserve">22-120 Wojsławice, ul. Rynek 30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lastRenderedPageBreak/>
        <w:br/>
      </w:r>
      <w:r w:rsidRPr="0038055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80556">
        <w:rPr>
          <w:rFonts w:ascii="Times New Roman" w:eastAsia="Times New Roman" w:hAnsi="Times New Roman" w:cs="Times New Roman"/>
          <w:sz w:val="24"/>
          <w:szCs w:val="24"/>
          <w:lang w:eastAsia="pl-PL"/>
        </w:rPr>
        <w:t xml:space="preserve">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Nie </w:t>
      </w:r>
      <w:r w:rsidRPr="0038055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80556">
        <w:rPr>
          <w:rFonts w:ascii="Times New Roman" w:eastAsia="Times New Roman" w:hAnsi="Times New Roman" w:cs="Times New Roman"/>
          <w:sz w:val="24"/>
          <w:szCs w:val="24"/>
          <w:lang w:eastAsia="pl-PL"/>
        </w:rPr>
        <w:br/>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u w:val="single"/>
          <w:lang w:eastAsia="pl-PL"/>
        </w:rPr>
        <w:t xml:space="preserve">SEKCJA II: PRZEDMIOT ZAMÓWIENIA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II.1) Nazwa nadana zamówieniu przez zamawiającego: </w:t>
      </w:r>
      <w:r w:rsidRPr="00380556">
        <w:rPr>
          <w:rFonts w:ascii="Times New Roman" w:eastAsia="Times New Roman" w:hAnsi="Times New Roman" w:cs="Times New Roman"/>
          <w:sz w:val="24"/>
          <w:szCs w:val="24"/>
          <w:lang w:eastAsia="pl-PL"/>
        </w:rPr>
        <w:t xml:space="preserve">Aranżacja i wyposażenie wnętrza Synagogi w celu przystosowania na Izbę Tradycji Ziemi Wojsławickiej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Numer referencyjny: </w:t>
      </w:r>
      <w:r w:rsidRPr="00380556">
        <w:rPr>
          <w:rFonts w:ascii="Times New Roman" w:eastAsia="Times New Roman" w:hAnsi="Times New Roman" w:cs="Times New Roman"/>
          <w:sz w:val="24"/>
          <w:szCs w:val="24"/>
          <w:lang w:eastAsia="pl-PL"/>
        </w:rPr>
        <w:t xml:space="preserve">GOSR.271.2.2020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80556" w:rsidRPr="00380556" w:rsidRDefault="00380556" w:rsidP="00380556">
      <w:pPr>
        <w:spacing w:after="0" w:line="240" w:lineRule="auto"/>
        <w:jc w:val="both"/>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Nie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II.2) Rodzaj zamówienia: </w:t>
      </w:r>
      <w:r w:rsidRPr="00380556">
        <w:rPr>
          <w:rFonts w:ascii="Times New Roman" w:eastAsia="Times New Roman" w:hAnsi="Times New Roman" w:cs="Times New Roman"/>
          <w:sz w:val="24"/>
          <w:szCs w:val="24"/>
          <w:lang w:eastAsia="pl-PL"/>
        </w:rPr>
        <w:t xml:space="preserve">Dostawy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II.3) Informacja o możliwości składania ofert częściowych</w:t>
      </w:r>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t xml:space="preserve">Zamówienie podzielone jest na części: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Nie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Oferty lub wnioski o dopuszczenie do udziału w postępowaniu można składać w odniesieniu do:</w:t>
      </w:r>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II.4) Krótki opis przedmiotu zamówienia </w:t>
      </w:r>
      <w:r w:rsidRPr="0038055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8055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80556">
        <w:rPr>
          <w:rFonts w:ascii="Times New Roman" w:eastAsia="Times New Roman" w:hAnsi="Times New Roman" w:cs="Times New Roman"/>
          <w:sz w:val="24"/>
          <w:szCs w:val="24"/>
          <w:lang w:eastAsia="pl-PL"/>
        </w:rPr>
        <w:t>Zakres zamówienia: A. Projektowane prace wykończeniowe: Projektuje się minimalne ingerencje w zastaną substancję architektoniczną, ograniczone do: - demontażu przegrody między bimą i salą główną z wykonaniem nowej przegrody; - wymiany głównych drzwi między korytarzem wejściowym i salą główną; - likwidacji (zamurowania) czterech okienek (ramy drewniane) przy klatce schodowej; - obudowy grzejników płytowych w głównych pomieszczeniach przeznaczonych do przebywania zwiedzających i zamaskowania nisz z grzejnikami na babińcu; - wykonania instalacji architektonicznej w miejscu bimy i nad bimą oraz przy Aron ha-</w:t>
      </w:r>
      <w:proofErr w:type="spellStart"/>
      <w:r w:rsidRPr="00380556">
        <w:rPr>
          <w:rFonts w:ascii="Times New Roman" w:eastAsia="Times New Roman" w:hAnsi="Times New Roman" w:cs="Times New Roman"/>
          <w:sz w:val="24"/>
          <w:szCs w:val="24"/>
          <w:lang w:eastAsia="pl-PL"/>
        </w:rPr>
        <w:t>kodesz</w:t>
      </w:r>
      <w:proofErr w:type="spellEnd"/>
      <w:r w:rsidRPr="00380556">
        <w:rPr>
          <w:rFonts w:ascii="Times New Roman" w:eastAsia="Times New Roman" w:hAnsi="Times New Roman" w:cs="Times New Roman"/>
          <w:sz w:val="24"/>
          <w:szCs w:val="24"/>
          <w:lang w:eastAsia="pl-PL"/>
        </w:rPr>
        <w:t xml:space="preserve">; - wykonaniem przewodów elektrycznych pod posadzką w sali głównej; - odświeżenie (odmalowanie) ścian; - wykończenie ścian i sufitu przedsionka sali głównej panelami ze spieku kwarcowego; B. Wyposażenie, oświetlenie, wykończenia według pomieszczeń Projektuje się wykonanie wyposażenia stałego i wystawy stałej następujących pomieszczeń. Sala główna: - nowe dwuskrzydłowe szklane drzwi wahadłowe między korytarzem wejściowym i przedsionkiem sali modlitewnej, wymiary całkowite otworu 180x269 cm; - instalacja architektoniczna: Bima ośmiokątna podstawa z trzema stopniami, metaloplastyczna balustrada z rurek o średnicy 8 mm i podwieszona "kopuła" z metalowych kul o średnicy 4 cm, mocowanych pośrednio, na </w:t>
      </w:r>
      <w:r w:rsidRPr="00380556">
        <w:rPr>
          <w:rFonts w:ascii="Times New Roman" w:eastAsia="Times New Roman" w:hAnsi="Times New Roman" w:cs="Times New Roman"/>
          <w:sz w:val="24"/>
          <w:szCs w:val="24"/>
          <w:lang w:eastAsia="pl-PL"/>
        </w:rPr>
        <w:lastRenderedPageBreak/>
        <w:t>cięgnach, do górnych partii ścian zewnętrznych Sali Modlitewnej i projektowanej belki przysufitowej od strony babińca. - instalacja architektoniczna: Aron ha-</w:t>
      </w:r>
      <w:proofErr w:type="spellStart"/>
      <w:r w:rsidRPr="00380556">
        <w:rPr>
          <w:rFonts w:ascii="Times New Roman" w:eastAsia="Times New Roman" w:hAnsi="Times New Roman" w:cs="Times New Roman"/>
          <w:sz w:val="24"/>
          <w:szCs w:val="24"/>
          <w:lang w:eastAsia="pl-PL"/>
        </w:rPr>
        <w:t>kodesz</w:t>
      </w:r>
      <w:proofErr w:type="spellEnd"/>
      <w:r w:rsidRPr="00380556">
        <w:rPr>
          <w:rFonts w:ascii="Times New Roman" w:eastAsia="Times New Roman" w:hAnsi="Times New Roman" w:cs="Times New Roman"/>
          <w:sz w:val="24"/>
          <w:szCs w:val="24"/>
          <w:lang w:eastAsia="pl-PL"/>
        </w:rPr>
        <w:t xml:space="preserve"> w postaci wyniesienia (trzy stopnie) przy ścianie wschodniej i czterech sześciokątnych w rzucie kolumn z metalowych rurek o średnicy 8 mm;. - wystawa - pulpity na księgi wraz z księgami (8 szt.) i gabloty (10 szt.) w części Warstwy chronologicznej i Uliczki (→).; - oświetlenie dedykowane do obsługi wystawy (oprawy typu do oświetlenia eksponatów, montowane wewnątrz gablot G1-G10); - oświetlenie ogólne sali (iluminacja okien i podłogi w strefie "Uliczki") montowane na ścianach zewnętrznych; - obudowa dwóch grzejników 140x90x15 cm po obu stronach przedsionka sali głównej płytami meblowymi wykończonymi panelami ze spieku kwarcowego; - wykończenie sufitu i ścian wspomnianego przedsionka panelami ze spieku kwarcowego; - projektor typu ultra-</w:t>
      </w:r>
      <w:proofErr w:type="spellStart"/>
      <w:r w:rsidRPr="00380556">
        <w:rPr>
          <w:rFonts w:ascii="Times New Roman" w:eastAsia="Times New Roman" w:hAnsi="Times New Roman" w:cs="Times New Roman"/>
          <w:sz w:val="24"/>
          <w:szCs w:val="24"/>
          <w:lang w:eastAsia="pl-PL"/>
        </w:rPr>
        <w:t>short</w:t>
      </w:r>
      <w:proofErr w:type="spellEnd"/>
      <w:r w:rsidRPr="00380556">
        <w:rPr>
          <w:rFonts w:ascii="Times New Roman" w:eastAsia="Times New Roman" w:hAnsi="Times New Roman" w:cs="Times New Roman"/>
          <w:sz w:val="24"/>
          <w:szCs w:val="24"/>
          <w:lang w:eastAsia="pl-PL"/>
        </w:rPr>
        <w:t xml:space="preserve"> przy ścianie południowej do wyświetlenia prezentacji archiwalnych zdjęć sztetla; - instalacje multimedialne - monitory dotykowe w </w:t>
      </w:r>
      <w:proofErr w:type="spellStart"/>
      <w:r w:rsidRPr="00380556">
        <w:rPr>
          <w:rFonts w:ascii="Times New Roman" w:eastAsia="Times New Roman" w:hAnsi="Times New Roman" w:cs="Times New Roman"/>
          <w:sz w:val="24"/>
          <w:szCs w:val="24"/>
          <w:lang w:eastAsia="pl-PL"/>
        </w:rPr>
        <w:t>puplitach</w:t>
      </w:r>
      <w:proofErr w:type="spellEnd"/>
      <w:r w:rsidRPr="00380556">
        <w:rPr>
          <w:rFonts w:ascii="Times New Roman" w:eastAsia="Times New Roman" w:hAnsi="Times New Roman" w:cs="Times New Roman"/>
          <w:sz w:val="24"/>
          <w:szCs w:val="24"/>
          <w:lang w:eastAsia="pl-PL"/>
        </w:rPr>
        <w:t xml:space="preserve"> na księgi (4 szt.) i pulpitach z tyłu gablot (6 szt.) - instalacje multimedialne - elementy nagłośnienia (4 szt. głośników wiszących). Przy konstrukcji barierki bimy i kolumny Aron ha-</w:t>
      </w:r>
      <w:proofErr w:type="spellStart"/>
      <w:r w:rsidRPr="00380556">
        <w:rPr>
          <w:rFonts w:ascii="Times New Roman" w:eastAsia="Times New Roman" w:hAnsi="Times New Roman" w:cs="Times New Roman"/>
          <w:sz w:val="24"/>
          <w:szCs w:val="24"/>
          <w:lang w:eastAsia="pl-PL"/>
        </w:rPr>
        <w:t>kodesz</w:t>
      </w:r>
      <w:proofErr w:type="spellEnd"/>
      <w:r w:rsidRPr="00380556">
        <w:rPr>
          <w:rFonts w:ascii="Times New Roman" w:eastAsia="Times New Roman" w:hAnsi="Times New Roman" w:cs="Times New Roman"/>
          <w:sz w:val="24"/>
          <w:szCs w:val="24"/>
          <w:lang w:eastAsia="pl-PL"/>
        </w:rPr>
        <w:t xml:space="preserve"> można zastosować także pręt śr. 8 mm Zakłada się na podział blachy pod tarczą, służącą do podtrzymania kopuły bimy, na mniejsze panele. W projekcie jest to 8 paneli, montowanych do profili aluminiowych. Można zmniejszyć liczbę paneli. W gablotach należy obłożyć blachą płaszczyzny boczne i płaszczyznę górną podestów. Dobór blachy w celu uzyskania efektu chromu. Należy przewidzieć mocowanie szklanych czasz gablot do podstawy każdej z nich – z uwzględnieniem tego, że tylna tafla szkła jest </w:t>
      </w:r>
      <w:proofErr w:type="spellStart"/>
      <w:r w:rsidRPr="00380556">
        <w:rPr>
          <w:rFonts w:ascii="Times New Roman" w:eastAsia="Times New Roman" w:hAnsi="Times New Roman" w:cs="Times New Roman"/>
          <w:sz w:val="24"/>
          <w:szCs w:val="24"/>
          <w:lang w:eastAsia="pl-PL"/>
        </w:rPr>
        <w:t>demontowalna</w:t>
      </w:r>
      <w:proofErr w:type="spellEnd"/>
      <w:r w:rsidRPr="00380556">
        <w:rPr>
          <w:rFonts w:ascii="Times New Roman" w:eastAsia="Times New Roman" w:hAnsi="Times New Roman" w:cs="Times New Roman"/>
          <w:sz w:val="24"/>
          <w:szCs w:val="24"/>
          <w:lang w:eastAsia="pl-PL"/>
        </w:rPr>
        <w:t xml:space="preserve">. Montaż w miarę możliwości niewidoczny, na przykład przy pomocy wpuszczanych w podest ceowników. Wysuwany panel na prowadnicach w gablotach należy wykonać z płyt meblowych wykończonych okładziną ze spieku kwarcowego. Alternatywnie może zostać wykonany z płyty meblowej laminowanej, dostosowanej kolorystycznie do spieku kwarcowego użytego w Sali Modlitewnej (na przykład na pulpitach) lub metalowej podstawy gablot. Dopuszcza się podział tylnej części szklanej czaszy gablot. Należy jednak zadbać o zapewnienie ciągłości nadruku UV przewidzianego na poszczególnych fragmentach. W gablocie nr 6 obracalny profil „korba” powinien być zamontowany na dwóch przeciwległych taflach szkła i osadzony w siodle w celu umożliwienia obrotu. Babiniec: - nowa przegroda ze szkła hartowanego między babińcem i salą główną, wymiary całkowite zestawu 1184x296 cm.; 8 paneli szklanych szerokości 120 cm (środkowe) i 2 panele szklane o szerokości 112 cm (skrajne); - podwieszone do sufitu metalowe ekspozytory do obsługi wystaw tymczasowych o wymiarach modularnych 100x200 cm; montowane na przysufitowych szynach/prowadnicach o rozstawie osiowym 100 cm; - mobilny podświetlany stół dla dzieci 150x150 cm wys. 50 cm. Dopuszczamy wykonanie czaszy z PMMA bezbarwnego o grubości 15 mm. Element może być klejony i obrabiany w 3D frezarką CNC. Należy jednak zapewnić: sztywność i trwałość sklejonego elementu czaszy – nie może rozkleić się ani pęknąć w spoinach, jeśli na czaszy położy się dziecko, które używa stołu; ze względu na bezpieczeństwo dzieci, dla których jest przeznaczony stół, należy wykonać przewidziane w projekcie wybolenia czaszy. Czasza nie powinna posiadać ostrych krawędzi zewnętrznych. - miękkie, </w:t>
      </w:r>
      <w:proofErr w:type="spellStart"/>
      <w:r w:rsidRPr="00380556">
        <w:rPr>
          <w:rFonts w:ascii="Times New Roman" w:eastAsia="Times New Roman" w:hAnsi="Times New Roman" w:cs="Times New Roman"/>
          <w:sz w:val="24"/>
          <w:szCs w:val="24"/>
          <w:lang w:eastAsia="pl-PL"/>
        </w:rPr>
        <w:t>wyoblone</w:t>
      </w:r>
      <w:proofErr w:type="spellEnd"/>
      <w:r w:rsidRPr="00380556">
        <w:rPr>
          <w:rFonts w:ascii="Times New Roman" w:eastAsia="Times New Roman" w:hAnsi="Times New Roman" w:cs="Times New Roman"/>
          <w:sz w:val="24"/>
          <w:szCs w:val="24"/>
          <w:lang w:eastAsia="pl-PL"/>
        </w:rPr>
        <w:t xml:space="preserve"> na krawędziach kostki z bloków poliuretanowych, amortyzowanych pianką i umieszczonych wewnątrz pokrowców ze skóry ekologicznej z wyfrezowanymi literami, pełniące rolę siedzisk do stołu dla dzieci, elementy o wymiarach 40x40x40 cm (15 szt.), w kolorze jasnoszarym; </w:t>
      </w:r>
      <w:proofErr w:type="spellStart"/>
      <w:r w:rsidRPr="00380556">
        <w:rPr>
          <w:rFonts w:ascii="Times New Roman" w:eastAsia="Times New Roman" w:hAnsi="Times New Roman" w:cs="Times New Roman"/>
          <w:sz w:val="24"/>
          <w:szCs w:val="24"/>
          <w:lang w:eastAsia="pl-PL"/>
        </w:rPr>
        <w:t>Dopuszca</w:t>
      </w:r>
      <w:proofErr w:type="spellEnd"/>
      <w:r w:rsidRPr="00380556">
        <w:rPr>
          <w:rFonts w:ascii="Times New Roman" w:eastAsia="Times New Roman" w:hAnsi="Times New Roman" w:cs="Times New Roman"/>
          <w:sz w:val="24"/>
          <w:szCs w:val="24"/>
          <w:lang w:eastAsia="pl-PL"/>
        </w:rPr>
        <w:t xml:space="preserve"> się zastosowanie </w:t>
      </w:r>
      <w:proofErr w:type="spellStart"/>
      <w:r w:rsidRPr="00380556">
        <w:rPr>
          <w:rFonts w:ascii="Times New Roman" w:eastAsia="Times New Roman" w:hAnsi="Times New Roman" w:cs="Times New Roman"/>
          <w:sz w:val="24"/>
          <w:szCs w:val="24"/>
          <w:lang w:eastAsia="pl-PL"/>
        </w:rPr>
        <w:t>graweru</w:t>
      </w:r>
      <w:proofErr w:type="spellEnd"/>
      <w:r w:rsidRPr="00380556">
        <w:rPr>
          <w:rFonts w:ascii="Times New Roman" w:eastAsia="Times New Roman" w:hAnsi="Times New Roman" w:cs="Times New Roman"/>
          <w:sz w:val="24"/>
          <w:szCs w:val="24"/>
          <w:lang w:eastAsia="pl-PL"/>
        </w:rPr>
        <w:t xml:space="preserve"> laserowego. - 35 szt. składanych krzeseł do obsługi wydarzeń bieżących - białe rolety zaciemniające typu </w:t>
      </w:r>
      <w:proofErr w:type="spellStart"/>
      <w:r w:rsidRPr="00380556">
        <w:rPr>
          <w:rFonts w:ascii="Times New Roman" w:eastAsia="Times New Roman" w:hAnsi="Times New Roman" w:cs="Times New Roman"/>
          <w:sz w:val="24"/>
          <w:szCs w:val="24"/>
          <w:lang w:eastAsia="pl-PL"/>
        </w:rPr>
        <w:t>blackout</w:t>
      </w:r>
      <w:proofErr w:type="spellEnd"/>
      <w:r w:rsidRPr="00380556">
        <w:rPr>
          <w:rFonts w:ascii="Times New Roman" w:eastAsia="Times New Roman" w:hAnsi="Times New Roman" w:cs="Times New Roman"/>
          <w:sz w:val="24"/>
          <w:szCs w:val="24"/>
          <w:lang w:eastAsia="pl-PL"/>
        </w:rPr>
        <w:t xml:space="preserve"> przy pięciu oknach babińca; - oświetlenie dedykowane (oprawy oświetleniowe na listwach trójfazowych); - oświetlenie ogólne nad babińcem i nad klatką schodową: oprawy dedykowane na szynach trójfazowych i oprawy wiszące podłużne; - obudowa grzejników naściennych 130x25x110 cm (2 szt.); - panele maskujące nisze grzejnikowe w ścianach (6 szt.); - podpórka do składowania krzeseł (80x5x110 cm, 1 szt.), </w:t>
      </w:r>
      <w:r w:rsidRPr="00380556">
        <w:rPr>
          <w:rFonts w:ascii="Times New Roman" w:eastAsia="Times New Roman" w:hAnsi="Times New Roman" w:cs="Times New Roman"/>
          <w:sz w:val="24"/>
          <w:szCs w:val="24"/>
          <w:lang w:eastAsia="pl-PL"/>
        </w:rPr>
        <w:lastRenderedPageBreak/>
        <w:t xml:space="preserve">obłożona blachą w kolorze obudowy grzejników na babińcu , stale mocowana do podłogi. Korytarz główny i korytarz boczny: - zabudowa meblowa przy korytarzu głównym - punkt obsługi zwiedzających, lada osoby sprzedającej bilety i pamiątki, gablota z pamiątkami, obudowa grzejnika 120x60x15, obudowa szafy elektrycznej - łącznie składające się na zestaw meblowy 01 ZM01; nad punktem obsługi zwiedzających przewidziano montaż monitora 55"; - zabudowa meblowa przy korytarzu bocznym - mobilna szafa na okrycia wierzchnie, czyli zestaw meblowy 02 ZM02, zamontowany w wyłączonym z użytku otworze drzwiowym w ścianie północnej; - obudowa grzejnika płytowego 90x60x15 cm przy korytarzu bocznym, naprzeciwko dolnego biegu klatki schodowej prowadzącej na babiniec; → Dopuszczamy wykończenie niewidocznej wewnętrznej części lady laminatem. W takim wypadku sugerujemy jednak wybór prostego, białego laminatu zamiast imitacji spieku kwarcowego. Blat w punkcie obsługi jest przewidziany do umieszczenia stanowiska komputerowego. Nie trzeba montować szuflady </w:t>
      </w:r>
      <w:proofErr w:type="spellStart"/>
      <w:r w:rsidRPr="00380556">
        <w:rPr>
          <w:rFonts w:ascii="Times New Roman" w:eastAsia="Times New Roman" w:hAnsi="Times New Roman" w:cs="Times New Roman"/>
          <w:sz w:val="24"/>
          <w:szCs w:val="24"/>
          <w:lang w:eastAsia="pl-PL"/>
        </w:rPr>
        <w:t>podblatowej</w:t>
      </w:r>
      <w:proofErr w:type="spellEnd"/>
      <w:r w:rsidRPr="00380556">
        <w:rPr>
          <w:rFonts w:ascii="Times New Roman" w:eastAsia="Times New Roman" w:hAnsi="Times New Roman" w:cs="Times New Roman"/>
          <w:sz w:val="24"/>
          <w:szCs w:val="24"/>
          <w:lang w:eastAsia="pl-PL"/>
        </w:rPr>
        <w:t>. Oświetlenie Projektuje się demontaż istniejącego oświetlenia dekoracyjnego, w tym kinkietów ściennych w korytarzu wejściowym i sali modlitewnej synagogi, a także opraw wiszących na babińcu i w sali głównej, w tym żyrandola nad bimą i żyrandola nad klatką schodową. W reprezentacyjnych pomieszczeniach dostępnych dla zwiedzających zostaną zamontowane nowe oprawy oświetlenia ogólnego, do iluminacji architektury i oprawy dedykowane do oświetlenia eksponatów w gablotach/na ekspozytorach i instalacji architektonicznych (Bima, Aron ha-</w:t>
      </w:r>
      <w:proofErr w:type="spellStart"/>
      <w:r w:rsidRPr="00380556">
        <w:rPr>
          <w:rFonts w:ascii="Times New Roman" w:eastAsia="Times New Roman" w:hAnsi="Times New Roman" w:cs="Times New Roman"/>
          <w:sz w:val="24"/>
          <w:szCs w:val="24"/>
          <w:lang w:eastAsia="pl-PL"/>
        </w:rPr>
        <w:t>kodesz</w:t>
      </w:r>
      <w:proofErr w:type="spellEnd"/>
      <w:r w:rsidRPr="00380556">
        <w:rPr>
          <w:rFonts w:ascii="Times New Roman" w:eastAsia="Times New Roman" w:hAnsi="Times New Roman" w:cs="Times New Roman"/>
          <w:sz w:val="24"/>
          <w:szCs w:val="24"/>
          <w:lang w:eastAsia="pl-PL"/>
        </w:rPr>
        <w:t xml:space="preserve">). Szczegółowy projekt oświetlenia znajduje się w opracowaniu branżowym elektrycznym (E.01). Osobnym elementem wymagającym opracowania własnego systemu oświetlenia jest stół dla dzieci na babińcu, gdzie będą prezentowane eksponaty archeologiczne. Artefakty będą umieszczone na podświetlonej od spodu matowej szybie. Oświetlenie obejmuje także gabloty G1-G10. Oświetlenie punktowe LED, możliwość regulacji natężenia światła, temperatura barwowa opraw 4000 K. </w:t>
      </w:r>
      <w:proofErr w:type="spellStart"/>
      <w:r w:rsidRPr="00380556">
        <w:rPr>
          <w:rFonts w:ascii="Times New Roman" w:eastAsia="Times New Roman" w:hAnsi="Times New Roman" w:cs="Times New Roman"/>
          <w:sz w:val="24"/>
          <w:szCs w:val="24"/>
          <w:lang w:eastAsia="pl-PL"/>
        </w:rPr>
        <w:t>Oddawalność</w:t>
      </w:r>
      <w:proofErr w:type="spellEnd"/>
      <w:r w:rsidRPr="00380556">
        <w:rPr>
          <w:rFonts w:ascii="Times New Roman" w:eastAsia="Times New Roman" w:hAnsi="Times New Roman" w:cs="Times New Roman"/>
          <w:sz w:val="24"/>
          <w:szCs w:val="24"/>
          <w:lang w:eastAsia="pl-PL"/>
        </w:rPr>
        <w:t xml:space="preserve"> barw RA/RCI ≥90. Optyka dostosowana do lokalizacji. Miejsce włączania i wyłączania niewidoczne, zintegrowane z podstawą lub górną częścią (nadstawą) gabloty. Charakterystyka Oprawy oświetleniowe (numeracja według przedmiaru) Lp. 14 Oprawa LED nad bimą, 30 W, możliwość regulacji natężenia światła, temperatura barwowa opraw 4000 K. </w:t>
      </w:r>
      <w:proofErr w:type="spellStart"/>
      <w:r w:rsidRPr="00380556">
        <w:rPr>
          <w:rFonts w:ascii="Times New Roman" w:eastAsia="Times New Roman" w:hAnsi="Times New Roman" w:cs="Times New Roman"/>
          <w:sz w:val="24"/>
          <w:szCs w:val="24"/>
          <w:lang w:eastAsia="pl-PL"/>
        </w:rPr>
        <w:t>Oddawalność</w:t>
      </w:r>
      <w:proofErr w:type="spellEnd"/>
      <w:r w:rsidRPr="00380556">
        <w:rPr>
          <w:rFonts w:ascii="Times New Roman" w:eastAsia="Times New Roman" w:hAnsi="Times New Roman" w:cs="Times New Roman"/>
          <w:sz w:val="24"/>
          <w:szCs w:val="24"/>
          <w:lang w:eastAsia="pl-PL"/>
        </w:rPr>
        <w:t xml:space="preserve"> barw RA/RCI ≥90. Lp.15 Oprawa LED IP65 5W, temperatura barwowa opraw 4000 K. </w:t>
      </w:r>
      <w:proofErr w:type="spellStart"/>
      <w:r w:rsidRPr="00380556">
        <w:rPr>
          <w:rFonts w:ascii="Times New Roman" w:eastAsia="Times New Roman" w:hAnsi="Times New Roman" w:cs="Times New Roman"/>
          <w:sz w:val="24"/>
          <w:szCs w:val="24"/>
          <w:lang w:eastAsia="pl-PL"/>
        </w:rPr>
        <w:t>Oddawalność</w:t>
      </w:r>
      <w:proofErr w:type="spellEnd"/>
      <w:r w:rsidRPr="00380556">
        <w:rPr>
          <w:rFonts w:ascii="Times New Roman" w:eastAsia="Times New Roman" w:hAnsi="Times New Roman" w:cs="Times New Roman"/>
          <w:sz w:val="24"/>
          <w:szCs w:val="24"/>
          <w:lang w:eastAsia="pl-PL"/>
        </w:rPr>
        <w:t xml:space="preserve"> barw RA/RCI&gt;70. Lp.16 Oprawa LED 8W, temperatura barwowa opraw 4000 K. </w:t>
      </w:r>
      <w:proofErr w:type="spellStart"/>
      <w:r w:rsidRPr="00380556">
        <w:rPr>
          <w:rFonts w:ascii="Times New Roman" w:eastAsia="Times New Roman" w:hAnsi="Times New Roman" w:cs="Times New Roman"/>
          <w:sz w:val="24"/>
          <w:szCs w:val="24"/>
          <w:lang w:eastAsia="pl-PL"/>
        </w:rPr>
        <w:t>Oddawalność</w:t>
      </w:r>
      <w:proofErr w:type="spellEnd"/>
      <w:r w:rsidRPr="00380556">
        <w:rPr>
          <w:rFonts w:ascii="Times New Roman" w:eastAsia="Times New Roman" w:hAnsi="Times New Roman" w:cs="Times New Roman"/>
          <w:sz w:val="24"/>
          <w:szCs w:val="24"/>
          <w:lang w:eastAsia="pl-PL"/>
        </w:rPr>
        <w:t xml:space="preserve"> barw RA/RCI ≥70. Lp.17 Oprawa LED 14W temperatura barwowa opraw 4000 K. </w:t>
      </w:r>
      <w:proofErr w:type="spellStart"/>
      <w:r w:rsidRPr="00380556">
        <w:rPr>
          <w:rFonts w:ascii="Times New Roman" w:eastAsia="Times New Roman" w:hAnsi="Times New Roman" w:cs="Times New Roman"/>
          <w:sz w:val="24"/>
          <w:szCs w:val="24"/>
          <w:lang w:eastAsia="pl-PL"/>
        </w:rPr>
        <w:t>Oddawalność</w:t>
      </w:r>
      <w:proofErr w:type="spellEnd"/>
      <w:r w:rsidRPr="00380556">
        <w:rPr>
          <w:rFonts w:ascii="Times New Roman" w:eastAsia="Times New Roman" w:hAnsi="Times New Roman" w:cs="Times New Roman"/>
          <w:sz w:val="24"/>
          <w:szCs w:val="24"/>
          <w:lang w:eastAsia="pl-PL"/>
        </w:rPr>
        <w:t xml:space="preserve"> barw RA/RCI ≥70. Lp.18 Oprawa LED 16W temperatura barwowa opraw 4000 K. </w:t>
      </w:r>
      <w:proofErr w:type="spellStart"/>
      <w:r w:rsidRPr="00380556">
        <w:rPr>
          <w:rFonts w:ascii="Times New Roman" w:eastAsia="Times New Roman" w:hAnsi="Times New Roman" w:cs="Times New Roman"/>
          <w:sz w:val="24"/>
          <w:szCs w:val="24"/>
          <w:lang w:eastAsia="pl-PL"/>
        </w:rPr>
        <w:t>Oddawalność</w:t>
      </w:r>
      <w:proofErr w:type="spellEnd"/>
      <w:r w:rsidRPr="00380556">
        <w:rPr>
          <w:rFonts w:ascii="Times New Roman" w:eastAsia="Times New Roman" w:hAnsi="Times New Roman" w:cs="Times New Roman"/>
          <w:sz w:val="24"/>
          <w:szCs w:val="24"/>
          <w:lang w:eastAsia="pl-PL"/>
        </w:rPr>
        <w:t xml:space="preserve"> barw RA/RCI ≥70. Lp.19 Oprawa LED 2x30 W, w niższym korytarzu, temperatura barwowa opraw 4000 K. </w:t>
      </w:r>
      <w:proofErr w:type="spellStart"/>
      <w:r w:rsidRPr="00380556">
        <w:rPr>
          <w:rFonts w:ascii="Times New Roman" w:eastAsia="Times New Roman" w:hAnsi="Times New Roman" w:cs="Times New Roman"/>
          <w:sz w:val="24"/>
          <w:szCs w:val="24"/>
          <w:lang w:eastAsia="pl-PL"/>
        </w:rPr>
        <w:t>Oddawalność</w:t>
      </w:r>
      <w:proofErr w:type="spellEnd"/>
      <w:r w:rsidRPr="00380556">
        <w:rPr>
          <w:rFonts w:ascii="Times New Roman" w:eastAsia="Times New Roman" w:hAnsi="Times New Roman" w:cs="Times New Roman"/>
          <w:sz w:val="24"/>
          <w:szCs w:val="24"/>
          <w:lang w:eastAsia="pl-PL"/>
        </w:rPr>
        <w:t xml:space="preserve"> barw RA/RCI ≥70. Multimedia W aranżacji wystawy przewiduje się wykorzystanie sprzętów multimedialnych - zarówno jako integralnych części wybranych mebli/zestawów meblowych, jak i montowanych osobno urządzeń uzupełniających. - projektor w sali głównej - typ ultra-</w:t>
      </w:r>
      <w:proofErr w:type="spellStart"/>
      <w:r w:rsidRPr="00380556">
        <w:rPr>
          <w:rFonts w:ascii="Times New Roman" w:eastAsia="Times New Roman" w:hAnsi="Times New Roman" w:cs="Times New Roman"/>
          <w:sz w:val="24"/>
          <w:szCs w:val="24"/>
          <w:lang w:eastAsia="pl-PL"/>
        </w:rPr>
        <w:t>short</w:t>
      </w:r>
      <w:proofErr w:type="spellEnd"/>
      <w:r w:rsidRPr="00380556">
        <w:rPr>
          <w:rFonts w:ascii="Times New Roman" w:eastAsia="Times New Roman" w:hAnsi="Times New Roman" w:cs="Times New Roman"/>
          <w:sz w:val="24"/>
          <w:szCs w:val="24"/>
          <w:lang w:eastAsia="pl-PL"/>
        </w:rPr>
        <w:t xml:space="preserve"> - montowany do ściany (1 szt.) - projektor na babińcu montowany do sufitu - typ standardowy - (1 szt.) - ekran projekcyjny na babińcu - (1 szt.) - głośniki w sali głównej/modlitewnej - (4 szt.) - ekrany dotykowe 22" w pulpitach - (4 szt.) - ekrany dotykowe 10.1" z dźwiękiem (stacje z słuchawkami) przy strefie Uliczki wokół dziesięciu gablot - (6 szt.) - monitor 55" nad punktem obsługi klientów w ZM01 - 1 szt. Wszystkie teksty i pliki przeznaczone do wydruku i umieszczenia w gablotach są przedmiotem zamówienia. Kategoria MULTIMEDIA obejmuje pozyskanie zakresu plików multimedialnych, takich jak nagrania dźwiękowe, filmy, model 3d Wojsławic </w:t>
      </w:r>
      <w:proofErr w:type="spellStart"/>
      <w:r w:rsidRPr="00380556">
        <w:rPr>
          <w:rFonts w:ascii="Times New Roman" w:eastAsia="Times New Roman" w:hAnsi="Times New Roman" w:cs="Times New Roman"/>
          <w:sz w:val="24"/>
          <w:szCs w:val="24"/>
          <w:lang w:eastAsia="pl-PL"/>
        </w:rPr>
        <w:t>itp</w:t>
      </w:r>
      <w:proofErr w:type="spellEnd"/>
      <w:r w:rsidRPr="00380556">
        <w:rPr>
          <w:rFonts w:ascii="Times New Roman" w:eastAsia="Times New Roman" w:hAnsi="Times New Roman" w:cs="Times New Roman"/>
          <w:sz w:val="24"/>
          <w:szCs w:val="24"/>
          <w:lang w:eastAsia="pl-PL"/>
        </w:rPr>
        <w:t xml:space="preserve">, przeznaczonych do prezentacji na ekranach dotykowych, oraz produkcję aplikacji multimedialnych dedykowanych do wspomnianych ekranów dotykowych: 6 pulpitów przy gablotach w strefie Uliczki i 4 pulpitów multimedialnych wokół Bimy. Aplikacje na pulpity powinny posiadać czytelny i intuicyjny w obsłudze interfejs, umożliwiający dostęp do treści multimedialnych, które będą na nich prezentowane. Zawartość folderu W.01 Pliki graficzne i </w:t>
      </w:r>
      <w:r w:rsidRPr="00380556">
        <w:rPr>
          <w:rFonts w:ascii="Times New Roman" w:eastAsia="Times New Roman" w:hAnsi="Times New Roman" w:cs="Times New Roman"/>
          <w:sz w:val="24"/>
          <w:szCs w:val="24"/>
          <w:lang w:eastAsia="pl-PL"/>
        </w:rPr>
        <w:lastRenderedPageBreak/>
        <w:t xml:space="preserve">teksty, to pliki produkcyjne do tekstów/podpisów/wydruków przeznaczonych do umieszczenia w gablotach, nadruków UV na tyły gablot </w:t>
      </w:r>
      <w:proofErr w:type="spellStart"/>
      <w:r w:rsidRPr="00380556">
        <w:rPr>
          <w:rFonts w:ascii="Times New Roman" w:eastAsia="Times New Roman" w:hAnsi="Times New Roman" w:cs="Times New Roman"/>
          <w:sz w:val="24"/>
          <w:szCs w:val="24"/>
          <w:lang w:eastAsia="pl-PL"/>
        </w:rPr>
        <w:t>itp</w:t>
      </w:r>
      <w:proofErr w:type="spellEnd"/>
      <w:r w:rsidRPr="00380556">
        <w:rPr>
          <w:rFonts w:ascii="Times New Roman" w:eastAsia="Times New Roman" w:hAnsi="Times New Roman" w:cs="Times New Roman"/>
          <w:sz w:val="24"/>
          <w:szCs w:val="24"/>
          <w:lang w:eastAsia="pl-PL"/>
        </w:rPr>
        <w:t>, które nie mają charakteru multimedialnego. Stworzenie strony www z elementami historycznego GIS (</w:t>
      </w:r>
      <w:proofErr w:type="spellStart"/>
      <w:r w:rsidRPr="00380556">
        <w:rPr>
          <w:rFonts w:ascii="Times New Roman" w:eastAsia="Times New Roman" w:hAnsi="Times New Roman" w:cs="Times New Roman"/>
          <w:sz w:val="24"/>
          <w:szCs w:val="24"/>
          <w:lang w:eastAsia="pl-PL"/>
        </w:rPr>
        <w:t>hGIS</w:t>
      </w:r>
      <w:proofErr w:type="spellEnd"/>
      <w:r w:rsidRPr="00380556">
        <w:rPr>
          <w:rFonts w:ascii="Times New Roman" w:eastAsia="Times New Roman" w:hAnsi="Times New Roman" w:cs="Times New Roman"/>
          <w:sz w:val="24"/>
          <w:szCs w:val="24"/>
          <w:lang w:eastAsia="pl-PL"/>
        </w:rPr>
        <w:t xml:space="preserve">) prezentującymi obiekty z historii Wojsławic w przestrzeni, w tym: - opracowanie bazy danych przestrzennych historycznych na podstawie scenariusza wystawy oraz dostarczonych map historycznych 1. Wojsławice w okresie lokacji 2. Wojsławice na przełomie XVIII/XIX wieku 3. Wojsławice - lata 40 XIX wieku 4. Okres międzywojenny a także 5. Plan współczesny - harmonizacja geometrii danych przestrzennych względem bazy referencyjnej BDOT10K - dowiązanie materiałów kartograficznych do współczesnego podziału ewidencji gruntów i budynków. Postępowanie obejmuje produkcję materiałów z folderu W.01, takich jak teksty do gablot, podpisy pod eksponaty, kalendaria do gablot, wydruki fotografii i produkcję/dostarczenie multimediów do pulpitów interaktywnych. Wykonanie nadruków UV na „plecach” gablot również wchodzi w zakres zamówienia. Materiały przeznaczone do druku są rozrysowane na rysunkach wykonawczych gablot. Na rysunkach gablot materiały są oznaczone sygnaturami – takimi samymi, jak pliki produkcyjne, zapisane w skali 1:1 do produkcji. Wyjaśnienia do przedmiaru: Pozycja 77 przedmiaru – zamówić możliwie szeroką licencję na skany – na wykorzystanie zarówno w ramach wystawy stałej, jak i w Internecie. Skany możliwie jak najlepszej jakości (1200 DPI). Spis sygnatur fotografii z zasobów PAN, które należy pozyskać. </w:t>
      </w:r>
      <w:proofErr w:type="spellStart"/>
      <w:r w:rsidRPr="00380556">
        <w:rPr>
          <w:rFonts w:ascii="Times New Roman" w:eastAsia="Times New Roman" w:hAnsi="Times New Roman" w:cs="Times New Roman"/>
          <w:sz w:val="24"/>
          <w:szCs w:val="24"/>
          <w:lang w:eastAsia="pl-PL"/>
        </w:rPr>
        <w:t>Wojslawice</w:t>
      </w:r>
      <w:proofErr w:type="spellEnd"/>
      <w:r w:rsidRPr="00380556">
        <w:rPr>
          <w:rFonts w:ascii="Times New Roman" w:eastAsia="Times New Roman" w:hAnsi="Times New Roman" w:cs="Times New Roman"/>
          <w:sz w:val="24"/>
          <w:szCs w:val="24"/>
          <w:lang w:eastAsia="pl-PL"/>
        </w:rPr>
        <w:t xml:space="preserve">, IS PAN 0000013490 </w:t>
      </w:r>
      <w:proofErr w:type="spellStart"/>
      <w:r w:rsidRPr="00380556">
        <w:rPr>
          <w:rFonts w:ascii="Times New Roman" w:eastAsia="Times New Roman" w:hAnsi="Times New Roman" w:cs="Times New Roman"/>
          <w:sz w:val="24"/>
          <w:szCs w:val="24"/>
          <w:lang w:eastAsia="pl-PL"/>
        </w:rPr>
        <w:t>Wojslawice</w:t>
      </w:r>
      <w:proofErr w:type="spellEnd"/>
      <w:r w:rsidRPr="00380556">
        <w:rPr>
          <w:rFonts w:ascii="Times New Roman" w:eastAsia="Times New Roman" w:hAnsi="Times New Roman" w:cs="Times New Roman"/>
          <w:sz w:val="24"/>
          <w:szCs w:val="24"/>
          <w:lang w:eastAsia="pl-PL"/>
        </w:rPr>
        <w:t xml:space="preserve">, IS PAN 0000013491 </w:t>
      </w:r>
      <w:proofErr w:type="spellStart"/>
      <w:r w:rsidRPr="00380556">
        <w:rPr>
          <w:rFonts w:ascii="Times New Roman" w:eastAsia="Times New Roman" w:hAnsi="Times New Roman" w:cs="Times New Roman"/>
          <w:sz w:val="24"/>
          <w:szCs w:val="24"/>
          <w:lang w:eastAsia="pl-PL"/>
        </w:rPr>
        <w:t>Wojslawice</w:t>
      </w:r>
      <w:proofErr w:type="spellEnd"/>
      <w:r w:rsidRPr="00380556">
        <w:rPr>
          <w:rFonts w:ascii="Times New Roman" w:eastAsia="Times New Roman" w:hAnsi="Times New Roman" w:cs="Times New Roman"/>
          <w:sz w:val="24"/>
          <w:szCs w:val="24"/>
          <w:lang w:eastAsia="pl-PL"/>
        </w:rPr>
        <w:t xml:space="preserve">, IS PAN 0000013492 </w:t>
      </w:r>
      <w:proofErr w:type="spellStart"/>
      <w:r w:rsidRPr="00380556">
        <w:rPr>
          <w:rFonts w:ascii="Times New Roman" w:eastAsia="Times New Roman" w:hAnsi="Times New Roman" w:cs="Times New Roman"/>
          <w:sz w:val="24"/>
          <w:szCs w:val="24"/>
          <w:lang w:eastAsia="pl-PL"/>
        </w:rPr>
        <w:t>Wojslawice</w:t>
      </w:r>
      <w:proofErr w:type="spellEnd"/>
      <w:r w:rsidRPr="00380556">
        <w:rPr>
          <w:rFonts w:ascii="Times New Roman" w:eastAsia="Times New Roman" w:hAnsi="Times New Roman" w:cs="Times New Roman"/>
          <w:sz w:val="24"/>
          <w:szCs w:val="24"/>
          <w:lang w:eastAsia="pl-PL"/>
        </w:rPr>
        <w:t xml:space="preserve">, IS PAN 0000013494 </w:t>
      </w:r>
      <w:proofErr w:type="spellStart"/>
      <w:r w:rsidRPr="00380556">
        <w:rPr>
          <w:rFonts w:ascii="Times New Roman" w:eastAsia="Times New Roman" w:hAnsi="Times New Roman" w:cs="Times New Roman"/>
          <w:sz w:val="24"/>
          <w:szCs w:val="24"/>
          <w:lang w:eastAsia="pl-PL"/>
        </w:rPr>
        <w:t>Wojslawice</w:t>
      </w:r>
      <w:proofErr w:type="spellEnd"/>
      <w:r w:rsidRPr="00380556">
        <w:rPr>
          <w:rFonts w:ascii="Times New Roman" w:eastAsia="Times New Roman" w:hAnsi="Times New Roman" w:cs="Times New Roman"/>
          <w:sz w:val="24"/>
          <w:szCs w:val="24"/>
          <w:lang w:eastAsia="pl-PL"/>
        </w:rPr>
        <w:t xml:space="preserve">, IS PAN 0000013497 </w:t>
      </w:r>
      <w:proofErr w:type="spellStart"/>
      <w:r w:rsidRPr="00380556">
        <w:rPr>
          <w:rFonts w:ascii="Times New Roman" w:eastAsia="Times New Roman" w:hAnsi="Times New Roman" w:cs="Times New Roman"/>
          <w:sz w:val="24"/>
          <w:szCs w:val="24"/>
          <w:lang w:eastAsia="pl-PL"/>
        </w:rPr>
        <w:t>Wojslawice</w:t>
      </w:r>
      <w:proofErr w:type="spellEnd"/>
      <w:r w:rsidRPr="00380556">
        <w:rPr>
          <w:rFonts w:ascii="Times New Roman" w:eastAsia="Times New Roman" w:hAnsi="Times New Roman" w:cs="Times New Roman"/>
          <w:sz w:val="24"/>
          <w:szCs w:val="24"/>
          <w:lang w:eastAsia="pl-PL"/>
        </w:rPr>
        <w:t xml:space="preserve">, IS PAN 0000013498 </w:t>
      </w:r>
      <w:proofErr w:type="spellStart"/>
      <w:r w:rsidRPr="00380556">
        <w:rPr>
          <w:rFonts w:ascii="Times New Roman" w:eastAsia="Times New Roman" w:hAnsi="Times New Roman" w:cs="Times New Roman"/>
          <w:sz w:val="24"/>
          <w:szCs w:val="24"/>
          <w:lang w:eastAsia="pl-PL"/>
        </w:rPr>
        <w:t>Wojslawice</w:t>
      </w:r>
      <w:proofErr w:type="spellEnd"/>
      <w:r w:rsidRPr="00380556">
        <w:rPr>
          <w:rFonts w:ascii="Times New Roman" w:eastAsia="Times New Roman" w:hAnsi="Times New Roman" w:cs="Times New Roman"/>
          <w:sz w:val="24"/>
          <w:szCs w:val="24"/>
          <w:lang w:eastAsia="pl-PL"/>
        </w:rPr>
        <w:t xml:space="preserve">, IS PAN 0000013499 </w:t>
      </w:r>
      <w:proofErr w:type="spellStart"/>
      <w:r w:rsidRPr="00380556">
        <w:rPr>
          <w:rFonts w:ascii="Times New Roman" w:eastAsia="Times New Roman" w:hAnsi="Times New Roman" w:cs="Times New Roman"/>
          <w:sz w:val="24"/>
          <w:szCs w:val="24"/>
          <w:lang w:eastAsia="pl-PL"/>
        </w:rPr>
        <w:t>Wojslawice</w:t>
      </w:r>
      <w:proofErr w:type="spellEnd"/>
      <w:r w:rsidRPr="00380556">
        <w:rPr>
          <w:rFonts w:ascii="Times New Roman" w:eastAsia="Times New Roman" w:hAnsi="Times New Roman" w:cs="Times New Roman"/>
          <w:sz w:val="24"/>
          <w:szCs w:val="24"/>
          <w:lang w:eastAsia="pl-PL"/>
        </w:rPr>
        <w:t xml:space="preserve">, IS PAN 0000013500 </w:t>
      </w:r>
      <w:proofErr w:type="spellStart"/>
      <w:r w:rsidRPr="00380556">
        <w:rPr>
          <w:rFonts w:ascii="Times New Roman" w:eastAsia="Times New Roman" w:hAnsi="Times New Roman" w:cs="Times New Roman"/>
          <w:sz w:val="24"/>
          <w:szCs w:val="24"/>
          <w:lang w:eastAsia="pl-PL"/>
        </w:rPr>
        <w:t>Wojslawice</w:t>
      </w:r>
      <w:proofErr w:type="spellEnd"/>
      <w:r w:rsidRPr="00380556">
        <w:rPr>
          <w:rFonts w:ascii="Times New Roman" w:eastAsia="Times New Roman" w:hAnsi="Times New Roman" w:cs="Times New Roman"/>
          <w:sz w:val="24"/>
          <w:szCs w:val="24"/>
          <w:lang w:eastAsia="pl-PL"/>
        </w:rPr>
        <w:t xml:space="preserve">, IS PAN 0000013501 </w:t>
      </w:r>
      <w:proofErr w:type="spellStart"/>
      <w:r w:rsidRPr="00380556">
        <w:rPr>
          <w:rFonts w:ascii="Times New Roman" w:eastAsia="Times New Roman" w:hAnsi="Times New Roman" w:cs="Times New Roman"/>
          <w:sz w:val="24"/>
          <w:szCs w:val="24"/>
          <w:lang w:eastAsia="pl-PL"/>
        </w:rPr>
        <w:t>Wojslawice</w:t>
      </w:r>
      <w:proofErr w:type="spellEnd"/>
      <w:r w:rsidRPr="00380556">
        <w:rPr>
          <w:rFonts w:ascii="Times New Roman" w:eastAsia="Times New Roman" w:hAnsi="Times New Roman" w:cs="Times New Roman"/>
          <w:sz w:val="24"/>
          <w:szCs w:val="24"/>
          <w:lang w:eastAsia="pl-PL"/>
        </w:rPr>
        <w:t xml:space="preserve">, IS PAN 0000013502 Zgodnie z informacją z ISPAN, koszt 1 skanu o rozdzielczości 600 </w:t>
      </w:r>
      <w:proofErr w:type="spellStart"/>
      <w:r w:rsidRPr="00380556">
        <w:rPr>
          <w:rFonts w:ascii="Times New Roman" w:eastAsia="Times New Roman" w:hAnsi="Times New Roman" w:cs="Times New Roman"/>
          <w:sz w:val="24"/>
          <w:szCs w:val="24"/>
          <w:lang w:eastAsia="pl-PL"/>
        </w:rPr>
        <w:t>dpi</w:t>
      </w:r>
      <w:proofErr w:type="spellEnd"/>
      <w:r w:rsidRPr="00380556">
        <w:rPr>
          <w:rFonts w:ascii="Times New Roman" w:eastAsia="Times New Roman" w:hAnsi="Times New Roman" w:cs="Times New Roman"/>
          <w:sz w:val="24"/>
          <w:szCs w:val="24"/>
          <w:lang w:eastAsia="pl-PL"/>
        </w:rPr>
        <w:t xml:space="preserve"> wynosi 90 zł, 1200 </w:t>
      </w:r>
      <w:proofErr w:type="spellStart"/>
      <w:r w:rsidRPr="00380556">
        <w:rPr>
          <w:rFonts w:ascii="Times New Roman" w:eastAsia="Times New Roman" w:hAnsi="Times New Roman" w:cs="Times New Roman"/>
          <w:sz w:val="24"/>
          <w:szCs w:val="24"/>
          <w:lang w:eastAsia="pl-PL"/>
        </w:rPr>
        <w:t>dpi</w:t>
      </w:r>
      <w:proofErr w:type="spellEnd"/>
      <w:r w:rsidRPr="00380556">
        <w:rPr>
          <w:rFonts w:ascii="Times New Roman" w:eastAsia="Times New Roman" w:hAnsi="Times New Roman" w:cs="Times New Roman"/>
          <w:sz w:val="24"/>
          <w:szCs w:val="24"/>
          <w:lang w:eastAsia="pl-PL"/>
        </w:rPr>
        <w:t xml:space="preserve"> odpowiednio 180 zł, natomiast 2400 </w:t>
      </w:r>
      <w:proofErr w:type="spellStart"/>
      <w:r w:rsidRPr="00380556">
        <w:rPr>
          <w:rFonts w:ascii="Times New Roman" w:eastAsia="Times New Roman" w:hAnsi="Times New Roman" w:cs="Times New Roman"/>
          <w:sz w:val="24"/>
          <w:szCs w:val="24"/>
          <w:lang w:eastAsia="pl-PL"/>
        </w:rPr>
        <w:t>dpi</w:t>
      </w:r>
      <w:proofErr w:type="spellEnd"/>
      <w:r w:rsidRPr="00380556">
        <w:rPr>
          <w:rFonts w:ascii="Times New Roman" w:eastAsia="Times New Roman" w:hAnsi="Times New Roman" w:cs="Times New Roman"/>
          <w:sz w:val="24"/>
          <w:szCs w:val="24"/>
          <w:lang w:eastAsia="pl-PL"/>
        </w:rPr>
        <w:t xml:space="preserve"> 270 zł. Wyrażenie zgody na ekspozycję 1 zdjęcia wynosi 25 zł.( wszystkie ceny objęte są podatkiem VAT). Pozycja 74 przedmiaru - Przedmiot zamówienia obejmuje wykonanie ksiąg: Księga 2 – 8 kartek drukowanych dwustronnie Księga 3 – 9 kartek drukowanych dwustronnie Księga 4 – 6 kartek drukowanych dwustronnie (brak okładki). oraz stworzenie strony www z elementami historycznego GIS (</w:t>
      </w:r>
      <w:proofErr w:type="spellStart"/>
      <w:r w:rsidRPr="00380556">
        <w:rPr>
          <w:rFonts w:ascii="Times New Roman" w:eastAsia="Times New Roman" w:hAnsi="Times New Roman" w:cs="Times New Roman"/>
          <w:sz w:val="24"/>
          <w:szCs w:val="24"/>
          <w:lang w:eastAsia="pl-PL"/>
        </w:rPr>
        <w:t>hGIS</w:t>
      </w:r>
      <w:proofErr w:type="spellEnd"/>
      <w:r w:rsidRPr="00380556">
        <w:rPr>
          <w:rFonts w:ascii="Times New Roman" w:eastAsia="Times New Roman" w:hAnsi="Times New Roman" w:cs="Times New Roman"/>
          <w:sz w:val="24"/>
          <w:szCs w:val="24"/>
          <w:lang w:eastAsia="pl-PL"/>
        </w:rPr>
        <w:t xml:space="preserve">) prezentującymi obiekty z historii Wojsławic w przestrzeni, w tym: - opracowanie bazy danych przestrzennych historycznych na podstawie scenariusza wystawy oraz dostarczonych map historycznych 1. Wojsławice w okresie lokacji 2. Wojsławice na przełomie XVIII/XIX wieku 3. Wojsławice - lata 40 XIX wieku 4. Okres międzywojenny a także 5. Plan współczesny - harmonizacja geometrii danych przestrzennych względem bazy referencyjnej BDOT10K - dowiązanie materiałów kartograficznych do współczesnego podziału ewidencji gruntów i budynków W zakresie ilości geometrii możemy przyjąć minimalną wartość 20 obiektów na mapę z jednego okresu historycznego. Pozycja 76 przedmiaru - Pliki audio, wideo i aplikacje z modelami wymienione w scenariuszu ze względu na rozmiar są one udostępnione w materiałach w siedzibie </w:t>
      </w:r>
      <w:proofErr w:type="spellStart"/>
      <w:r w:rsidRPr="00380556">
        <w:rPr>
          <w:rFonts w:ascii="Times New Roman" w:eastAsia="Times New Roman" w:hAnsi="Times New Roman" w:cs="Times New Roman"/>
          <w:sz w:val="24"/>
          <w:szCs w:val="24"/>
          <w:lang w:eastAsia="pl-PL"/>
        </w:rPr>
        <w:t>Zamawiająceg</w:t>
      </w:r>
      <w:proofErr w:type="spellEnd"/>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II.5) Główny kod CPV: </w:t>
      </w:r>
      <w:r w:rsidRPr="00380556">
        <w:rPr>
          <w:rFonts w:ascii="Times New Roman" w:eastAsia="Times New Roman" w:hAnsi="Times New Roman" w:cs="Times New Roman"/>
          <w:sz w:val="24"/>
          <w:szCs w:val="24"/>
          <w:lang w:eastAsia="pl-PL"/>
        </w:rPr>
        <w:t xml:space="preserve">39290000-1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Dodatkowe kody CPV:</w:t>
      </w:r>
      <w:r w:rsidRPr="0038055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Kod CPV</w:t>
            </w:r>
          </w:p>
        </w:tc>
      </w:tr>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45111300-1</w:t>
            </w:r>
          </w:p>
        </w:tc>
      </w:tr>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45421100-5</w:t>
            </w:r>
          </w:p>
        </w:tc>
      </w:tr>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45262522-6</w:t>
            </w:r>
          </w:p>
        </w:tc>
      </w:tr>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45233200-1</w:t>
            </w:r>
          </w:p>
        </w:tc>
      </w:tr>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44111400-5</w:t>
            </w:r>
          </w:p>
        </w:tc>
      </w:tr>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44421722-4</w:t>
            </w:r>
          </w:p>
        </w:tc>
      </w:tr>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39171000-1</w:t>
            </w:r>
          </w:p>
        </w:tc>
      </w:tr>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lastRenderedPageBreak/>
              <w:t>45262900-0</w:t>
            </w:r>
          </w:p>
        </w:tc>
      </w:tr>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45233221-4</w:t>
            </w:r>
          </w:p>
        </w:tc>
      </w:tr>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39150000-8</w:t>
            </w:r>
          </w:p>
        </w:tc>
      </w:tr>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39171000-1</w:t>
            </w:r>
          </w:p>
        </w:tc>
      </w:tr>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39110000-6</w:t>
            </w:r>
          </w:p>
        </w:tc>
      </w:tr>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45300000-0</w:t>
            </w:r>
          </w:p>
        </w:tc>
      </w:tr>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45310000-3</w:t>
            </w:r>
          </w:p>
        </w:tc>
      </w:tr>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45311000-0</w:t>
            </w:r>
          </w:p>
        </w:tc>
      </w:tr>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45311200-2</w:t>
            </w:r>
          </w:p>
        </w:tc>
      </w:tr>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45314320-0</w:t>
            </w:r>
          </w:p>
        </w:tc>
      </w:tr>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32322000-6</w:t>
            </w:r>
          </w:p>
        </w:tc>
      </w:tr>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38652100-1</w:t>
            </w:r>
          </w:p>
        </w:tc>
      </w:tr>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38653400-1</w:t>
            </w:r>
          </w:p>
        </w:tc>
      </w:tr>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32323000-3</w:t>
            </w:r>
          </w:p>
        </w:tc>
      </w:tr>
    </w:tbl>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II.6) Całkowita wartość zamówienia </w:t>
      </w:r>
      <w:r w:rsidRPr="00380556">
        <w:rPr>
          <w:rFonts w:ascii="Times New Roman" w:eastAsia="Times New Roman" w:hAnsi="Times New Roman" w:cs="Times New Roman"/>
          <w:i/>
          <w:iCs/>
          <w:sz w:val="24"/>
          <w:szCs w:val="24"/>
          <w:lang w:eastAsia="pl-PL"/>
        </w:rPr>
        <w:t>(jeżeli zamawiający podaje informacje o wartości zamówienia)</w:t>
      </w:r>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t xml:space="preserve">Wartość bez VAT: </w:t>
      </w:r>
      <w:r w:rsidRPr="00380556">
        <w:rPr>
          <w:rFonts w:ascii="Times New Roman" w:eastAsia="Times New Roman" w:hAnsi="Times New Roman" w:cs="Times New Roman"/>
          <w:sz w:val="24"/>
          <w:szCs w:val="24"/>
          <w:lang w:eastAsia="pl-PL"/>
        </w:rPr>
        <w:br/>
        <w:t xml:space="preserve">Waluta: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80556">
        <w:rPr>
          <w:rFonts w:ascii="Times New Roman" w:eastAsia="Times New Roman" w:hAnsi="Times New Roman" w:cs="Times New Roman"/>
          <w:sz w:val="24"/>
          <w:szCs w:val="24"/>
          <w:lang w:eastAsia="pl-PL"/>
        </w:rPr>
        <w:t xml:space="preserve">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80556">
        <w:rPr>
          <w:rFonts w:ascii="Times New Roman" w:eastAsia="Times New Roman" w:hAnsi="Times New Roman" w:cs="Times New Roman"/>
          <w:b/>
          <w:bCs/>
          <w:sz w:val="24"/>
          <w:szCs w:val="24"/>
          <w:lang w:eastAsia="pl-PL"/>
        </w:rPr>
        <w:t>Pzp</w:t>
      </w:r>
      <w:proofErr w:type="spellEnd"/>
      <w:r w:rsidRPr="00380556">
        <w:rPr>
          <w:rFonts w:ascii="Times New Roman" w:eastAsia="Times New Roman" w:hAnsi="Times New Roman" w:cs="Times New Roman"/>
          <w:b/>
          <w:bCs/>
          <w:sz w:val="24"/>
          <w:szCs w:val="24"/>
          <w:lang w:eastAsia="pl-PL"/>
        </w:rPr>
        <w:t xml:space="preserve">: </w:t>
      </w:r>
      <w:r w:rsidRPr="00380556">
        <w:rPr>
          <w:rFonts w:ascii="Times New Roman" w:eastAsia="Times New Roman" w:hAnsi="Times New Roman" w:cs="Times New Roman"/>
          <w:sz w:val="24"/>
          <w:szCs w:val="24"/>
          <w:lang w:eastAsia="pl-PL"/>
        </w:rPr>
        <w:t xml:space="preserve">Nie </w:t>
      </w:r>
      <w:r w:rsidRPr="0038055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80556">
        <w:rPr>
          <w:rFonts w:ascii="Times New Roman" w:eastAsia="Times New Roman" w:hAnsi="Times New Roman" w:cs="Times New Roman"/>
          <w:sz w:val="24"/>
          <w:szCs w:val="24"/>
          <w:lang w:eastAsia="pl-PL"/>
        </w:rPr>
        <w:t>Pzp</w:t>
      </w:r>
      <w:proofErr w:type="spellEnd"/>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t>miesiącach:   </w:t>
      </w:r>
      <w:r w:rsidRPr="00380556">
        <w:rPr>
          <w:rFonts w:ascii="Times New Roman" w:eastAsia="Times New Roman" w:hAnsi="Times New Roman" w:cs="Times New Roman"/>
          <w:i/>
          <w:iCs/>
          <w:sz w:val="24"/>
          <w:szCs w:val="24"/>
          <w:lang w:eastAsia="pl-PL"/>
        </w:rPr>
        <w:t xml:space="preserve"> lub </w:t>
      </w:r>
      <w:r w:rsidRPr="00380556">
        <w:rPr>
          <w:rFonts w:ascii="Times New Roman" w:eastAsia="Times New Roman" w:hAnsi="Times New Roman" w:cs="Times New Roman"/>
          <w:b/>
          <w:bCs/>
          <w:sz w:val="24"/>
          <w:szCs w:val="24"/>
          <w:lang w:eastAsia="pl-PL"/>
        </w:rPr>
        <w:t>dniach:</w:t>
      </w:r>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i/>
          <w:iCs/>
          <w:sz w:val="24"/>
          <w:szCs w:val="24"/>
          <w:lang w:eastAsia="pl-PL"/>
        </w:rPr>
        <w:t>lub</w:t>
      </w:r>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data rozpoczęcia: </w:t>
      </w:r>
      <w:r w:rsidRPr="00380556">
        <w:rPr>
          <w:rFonts w:ascii="Times New Roman" w:eastAsia="Times New Roman" w:hAnsi="Times New Roman" w:cs="Times New Roman"/>
          <w:sz w:val="24"/>
          <w:szCs w:val="24"/>
          <w:lang w:eastAsia="pl-PL"/>
        </w:rPr>
        <w:t> </w:t>
      </w:r>
      <w:r w:rsidRPr="00380556">
        <w:rPr>
          <w:rFonts w:ascii="Times New Roman" w:eastAsia="Times New Roman" w:hAnsi="Times New Roman" w:cs="Times New Roman"/>
          <w:i/>
          <w:iCs/>
          <w:sz w:val="24"/>
          <w:szCs w:val="24"/>
          <w:lang w:eastAsia="pl-PL"/>
        </w:rPr>
        <w:t xml:space="preserve"> lub </w:t>
      </w:r>
      <w:r w:rsidRPr="0038055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Data zakończenia</w:t>
            </w:r>
          </w:p>
        </w:tc>
      </w:tr>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2020-05-15</w:t>
            </w:r>
          </w:p>
        </w:tc>
      </w:tr>
    </w:tbl>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II.9) Informacje dodatkowe: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 xml:space="preserve">III.1) WARUNKI UDZIAŁU W POSTĘPOWANIU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t xml:space="preserve">Określenie warunków: Warunek ten zamawiający uzna za spełniony na podstawie oświadczenia dotyczącego spełniania warunków udziału w postępowaniu – załącznik Nr 2A do SIWZ </w:t>
      </w:r>
      <w:r w:rsidRPr="00380556">
        <w:rPr>
          <w:rFonts w:ascii="Times New Roman" w:eastAsia="Times New Roman" w:hAnsi="Times New Roman" w:cs="Times New Roman"/>
          <w:sz w:val="24"/>
          <w:szCs w:val="24"/>
          <w:lang w:eastAsia="pl-PL"/>
        </w:rPr>
        <w:br/>
        <w:t xml:space="preserve">Informacje dodatkowe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lastRenderedPageBreak/>
        <w:t xml:space="preserve">III.1.2) Sytuacja finansowa lub ekonomiczna </w:t>
      </w:r>
      <w:r w:rsidRPr="00380556">
        <w:rPr>
          <w:rFonts w:ascii="Times New Roman" w:eastAsia="Times New Roman" w:hAnsi="Times New Roman" w:cs="Times New Roman"/>
          <w:sz w:val="24"/>
          <w:szCs w:val="24"/>
          <w:lang w:eastAsia="pl-PL"/>
        </w:rPr>
        <w:br/>
        <w:t xml:space="preserve">Określenie warunków: Warunek ten zamawiający uzna za spełniony na podstawie oświadczenia dotyczącego spełniania warunków udziału w postępowaniu – załącznik Nr 2A do SIWZ </w:t>
      </w:r>
      <w:r w:rsidRPr="00380556">
        <w:rPr>
          <w:rFonts w:ascii="Times New Roman" w:eastAsia="Times New Roman" w:hAnsi="Times New Roman" w:cs="Times New Roman"/>
          <w:sz w:val="24"/>
          <w:szCs w:val="24"/>
          <w:lang w:eastAsia="pl-PL"/>
        </w:rPr>
        <w:br/>
        <w:t xml:space="preserve">Informacje dodatkowe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III.1.3) Zdolność techniczna lub zawodowa </w:t>
      </w:r>
      <w:r w:rsidRPr="00380556">
        <w:rPr>
          <w:rFonts w:ascii="Times New Roman" w:eastAsia="Times New Roman" w:hAnsi="Times New Roman" w:cs="Times New Roman"/>
          <w:sz w:val="24"/>
          <w:szCs w:val="24"/>
          <w:lang w:eastAsia="pl-PL"/>
        </w:rPr>
        <w:br/>
        <w:t xml:space="preserve">Określenie warunków: W celu potwierdzenia spełnienia warunku Wykonawca winien wykazać, iż w okresie ostatnich 5 lat przed upływem terminu składania ofert, a jeżeli okres prowadzenia działalności jest krótszy - w tym okresie, minimum 2 zamówień na wykonanie aranżacji i wyposażenia o zakresie porównywalnym z przedmiotem zamówienia o wartości zamówienia min. 200.000,00zł. brutto (słownie: dwieście tysięcy złotych) każde, z podaniem ich rodzaju i wartości, daty i miejsca wykonania oraz załączenia dowodów określających, czy zostały wykonane w sposób należyty. </w:t>
      </w:r>
      <w:r w:rsidRPr="0038055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80556">
        <w:rPr>
          <w:rFonts w:ascii="Times New Roman" w:eastAsia="Times New Roman" w:hAnsi="Times New Roman" w:cs="Times New Roman"/>
          <w:sz w:val="24"/>
          <w:szCs w:val="24"/>
          <w:lang w:eastAsia="pl-PL"/>
        </w:rPr>
        <w:br/>
        <w:t xml:space="preserve">Informacje dodatkowe: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 xml:space="preserve">III.2) PODSTAWY WYKLUCZENIA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80556">
        <w:rPr>
          <w:rFonts w:ascii="Times New Roman" w:eastAsia="Times New Roman" w:hAnsi="Times New Roman" w:cs="Times New Roman"/>
          <w:b/>
          <w:bCs/>
          <w:sz w:val="24"/>
          <w:szCs w:val="24"/>
          <w:lang w:eastAsia="pl-PL"/>
        </w:rPr>
        <w:t>Pzp</w:t>
      </w:r>
      <w:proofErr w:type="spellEnd"/>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80556">
        <w:rPr>
          <w:rFonts w:ascii="Times New Roman" w:eastAsia="Times New Roman" w:hAnsi="Times New Roman" w:cs="Times New Roman"/>
          <w:b/>
          <w:bCs/>
          <w:sz w:val="24"/>
          <w:szCs w:val="24"/>
          <w:lang w:eastAsia="pl-PL"/>
        </w:rPr>
        <w:t>Pzp</w:t>
      </w:r>
      <w:proofErr w:type="spellEnd"/>
      <w:r w:rsidRPr="0038055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80556">
        <w:rPr>
          <w:rFonts w:ascii="Times New Roman" w:eastAsia="Times New Roman" w:hAnsi="Times New Roman" w:cs="Times New Roman"/>
          <w:sz w:val="24"/>
          <w:szCs w:val="24"/>
          <w:lang w:eastAsia="pl-PL"/>
        </w:rPr>
        <w:t>Pzp</w:t>
      </w:r>
      <w:proofErr w:type="spellEnd"/>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80556">
        <w:rPr>
          <w:rFonts w:ascii="Times New Roman" w:eastAsia="Times New Roman" w:hAnsi="Times New Roman" w:cs="Times New Roman"/>
          <w:sz w:val="24"/>
          <w:szCs w:val="24"/>
          <w:lang w:eastAsia="pl-PL"/>
        </w:rPr>
        <w:br/>
        <w:t xml:space="preserve">Tak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Oświadczenie o spełnianiu kryteriów selekcji </w:t>
      </w:r>
      <w:r w:rsidRPr="00380556">
        <w:rPr>
          <w:rFonts w:ascii="Times New Roman" w:eastAsia="Times New Roman" w:hAnsi="Times New Roman" w:cs="Times New Roman"/>
          <w:sz w:val="24"/>
          <w:szCs w:val="24"/>
          <w:lang w:eastAsia="pl-PL"/>
        </w:rPr>
        <w:br/>
        <w:t xml:space="preserve">Nie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III.5.1) W ZAKRESIE SPEŁNIANIA WARUNKÓW UDZIAŁU W POSTĘPOWANIU:</w:t>
      </w:r>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t xml:space="preserve">Wykaz minimum 2 zamówień na aranżację i wyposażenie wykonanych nie wcześniej niż w okresie ostatnich 5 lat przed upływem terminu składania ofert, a jeżeli okres prowadzenia </w:t>
      </w:r>
      <w:r w:rsidRPr="00380556">
        <w:rPr>
          <w:rFonts w:ascii="Times New Roman" w:eastAsia="Times New Roman" w:hAnsi="Times New Roman" w:cs="Times New Roman"/>
          <w:sz w:val="24"/>
          <w:szCs w:val="24"/>
          <w:lang w:eastAsia="pl-PL"/>
        </w:rPr>
        <w:lastRenderedPageBreak/>
        <w:t xml:space="preserve">działalności jest krótszy - w tym okresie o wartości zamówienia min. 200.000,00zł. brutto (słownie: dwieście tysięcy złotych) każde, wraz z podaniem ich rodzaju, wartości, daty, miejsca wykonania i podmiotów, na rzecz których zostały wykonane, z załączeniem dowodów określających czy te zamówienia zostały wykonane należycie, przy czym dowodami, o których mowa, są referencje bądź inne dokumenty wystawione przez podmiot, na rzecz którego zamówienia były wykonywane, a jeżeli z uzasadnionej przyczyny o obiektywnym charakterze wykonawca nie jest w stanie uzyskać tych dokumentów - inne dokumenty – wg wzoru stanowiącego załącznik nr 5 do SIWZ stosownie.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III.5.2) W ZAKRESIE KRYTERIÓW SELEKCJI:</w:t>
      </w:r>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 xml:space="preserve">III.7) INNE DOKUMENTY NIE WYMIENIONE W pkt III.3) - III.6)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w:t>
      </w:r>
      <w:proofErr w:type="spellStart"/>
      <w:r w:rsidRPr="00380556">
        <w:rPr>
          <w:rFonts w:ascii="Times New Roman" w:eastAsia="Times New Roman" w:hAnsi="Times New Roman" w:cs="Times New Roman"/>
          <w:sz w:val="24"/>
          <w:szCs w:val="24"/>
          <w:lang w:eastAsia="pl-PL"/>
        </w:rPr>
        <w:t>Pzp</w:t>
      </w:r>
      <w:proofErr w:type="spellEnd"/>
      <w:r w:rsidRPr="00380556">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w:t>
      </w:r>
      <w:proofErr w:type="spellStart"/>
      <w:r w:rsidRPr="00380556">
        <w:rPr>
          <w:rFonts w:ascii="Times New Roman" w:eastAsia="Times New Roman" w:hAnsi="Times New Roman" w:cs="Times New Roman"/>
          <w:sz w:val="24"/>
          <w:szCs w:val="24"/>
          <w:lang w:eastAsia="pl-PL"/>
        </w:rPr>
        <w:t>Pzp</w:t>
      </w:r>
      <w:proofErr w:type="spellEnd"/>
      <w:r w:rsidRPr="00380556">
        <w:rPr>
          <w:rFonts w:ascii="Times New Roman" w:eastAsia="Times New Roman" w:hAnsi="Times New Roman" w:cs="Times New Roman"/>
          <w:sz w:val="24"/>
          <w:szCs w:val="24"/>
          <w:lang w:eastAsia="pl-PL"/>
        </w:rPr>
        <w:t xml:space="preserve">. Oświadczenie zaleca się przygotować zgodnie z wzorem określonym w załączniku Nr 3 do SIWZ. W przypadku składania oferty wspólnej ww. dokument składa każdy z Wykonawców składających ofertę wspólna. Wraz ze złożeniem oświadczenia, wykonawca może przedstawić dowody, że powiązania z innym wykonawcą nie prowadzą do zakłócenia konkurencji w postępowaniu o udzielenie zamówienia.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u w:val="single"/>
          <w:lang w:eastAsia="pl-PL"/>
        </w:rPr>
        <w:t xml:space="preserve">SEKCJA IV: PROCEDURA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 xml:space="preserve">IV.1) OPIS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IV.1.1) Tryb udzielenia zamówienia: </w:t>
      </w:r>
      <w:r w:rsidRPr="00380556">
        <w:rPr>
          <w:rFonts w:ascii="Times New Roman" w:eastAsia="Times New Roman" w:hAnsi="Times New Roman" w:cs="Times New Roman"/>
          <w:sz w:val="24"/>
          <w:szCs w:val="24"/>
          <w:lang w:eastAsia="pl-PL"/>
        </w:rPr>
        <w:t xml:space="preserve">Przetarg nieograniczony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IV.1.2) Zamawiający żąda wniesienia wadium:</w:t>
      </w:r>
      <w:r w:rsidRPr="00380556">
        <w:rPr>
          <w:rFonts w:ascii="Times New Roman" w:eastAsia="Times New Roman" w:hAnsi="Times New Roman" w:cs="Times New Roman"/>
          <w:sz w:val="24"/>
          <w:szCs w:val="24"/>
          <w:lang w:eastAsia="pl-PL"/>
        </w:rPr>
        <w:t xml:space="preserve">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Tak </w:t>
      </w:r>
      <w:r w:rsidRPr="00380556">
        <w:rPr>
          <w:rFonts w:ascii="Times New Roman" w:eastAsia="Times New Roman" w:hAnsi="Times New Roman" w:cs="Times New Roman"/>
          <w:sz w:val="24"/>
          <w:szCs w:val="24"/>
          <w:lang w:eastAsia="pl-PL"/>
        </w:rPr>
        <w:br/>
        <w:t xml:space="preserve">Informacja na temat wadium </w:t>
      </w:r>
      <w:r w:rsidRPr="00380556">
        <w:rPr>
          <w:rFonts w:ascii="Times New Roman" w:eastAsia="Times New Roman" w:hAnsi="Times New Roman" w:cs="Times New Roman"/>
          <w:sz w:val="24"/>
          <w:szCs w:val="24"/>
          <w:lang w:eastAsia="pl-PL"/>
        </w:rPr>
        <w:br/>
        <w:t xml:space="preserve">1. Zamawiający wymaga wniesienia wadium. Składający ofertę Wykonawca winien wnieść wadium przed upływem terminu składania ofert w wysokości 5.000,00 zł (słownie: pięć tysięcy złotych). 2. Wadium może być wnoszone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ust.5 pkt 2 ustawy z dnia 9 listopada 2000 r. o utworzeniu Polskiej Agencji Rozwoju Przedsiębiorczości (Dz. U. 2014 poz. 1804 ze zm.) 3. Wadium wnoszone w pieniądzu należy wpłacić przelewem na konto Zamawiającego: Bank Spółdzielczy w Wojsławicach nr rachunku 66 8188 0003 2001 0000 1821 0007. Jako tytuł wpłaty należy wpisać „Wadium - Aranżacja i wyposażenie wnętrza Synagogi w celu przystosowania na Izbę Tradycji Ziemi Wojsławickiej” 4. Za termin wniesienia wadium przyjmuje się datę uznania rachunku Zamawiającego. 5. Wadium zostanie zwrócone lub zatrzymane zgodnie z art. 46 ustawy Prawo zamówień publicznych. 6. W przypadku wniesienia wadium w formie gwarancji lub poręczenia dokument zabezpieczenia należy złożyć przed upływem terminu składania ofert w siedzibie Zamawiającego. 7. Wadium wniesione w formie gwarancji ubezpieczeniowej lub bankowej będzie akceptowane pod warunkiem, że jest zgodne z Prawem Zamówień Publicznych, a w szczególności: a) gwarancja będzie zawierała wszystkie przypadki utraty wadium przez wykonawcę określone w art. 46. ust. 4a i ust. 5 Prawa Zamówień Publicznych b) okres ważności gwarancji będzie nie krótszy niż okres związania ofertą określony w specyfikacji istotnych warunków zamówienia 8. Wadium wniesione w </w:t>
      </w:r>
      <w:r w:rsidRPr="00380556">
        <w:rPr>
          <w:rFonts w:ascii="Times New Roman" w:eastAsia="Times New Roman" w:hAnsi="Times New Roman" w:cs="Times New Roman"/>
          <w:sz w:val="24"/>
          <w:szCs w:val="24"/>
          <w:lang w:eastAsia="pl-PL"/>
        </w:rPr>
        <w:lastRenderedPageBreak/>
        <w:t xml:space="preserve">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a) poręczenie będzie zawierało wszystkie przypadki utraty wadium przez wykonawcę określone w art. 46 ust. 4a i ust. 5 Prawa Zamówień Publicznych, b) poręczenie będzie zawierało określony datą termin odpowiedzialności, nie krótszy niż okres związania ofertą określony w Specyfikacji Istotnych Warunków Zamówienia.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IV.1.3) Przewiduje się udzielenie zaliczek na poczet wykonania zamówienia:</w:t>
      </w:r>
      <w:r w:rsidRPr="00380556">
        <w:rPr>
          <w:rFonts w:ascii="Times New Roman" w:eastAsia="Times New Roman" w:hAnsi="Times New Roman" w:cs="Times New Roman"/>
          <w:sz w:val="24"/>
          <w:szCs w:val="24"/>
          <w:lang w:eastAsia="pl-PL"/>
        </w:rPr>
        <w:t xml:space="preserve">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Nie </w:t>
      </w:r>
      <w:r w:rsidRPr="00380556">
        <w:rPr>
          <w:rFonts w:ascii="Times New Roman" w:eastAsia="Times New Roman" w:hAnsi="Times New Roman" w:cs="Times New Roman"/>
          <w:sz w:val="24"/>
          <w:szCs w:val="24"/>
          <w:lang w:eastAsia="pl-PL"/>
        </w:rPr>
        <w:br/>
        <w:t xml:space="preserve">Należy podać informacje na temat udzielania zaliczek: </w:t>
      </w:r>
      <w:r w:rsidRPr="00380556">
        <w:rPr>
          <w:rFonts w:ascii="Times New Roman" w:eastAsia="Times New Roman" w:hAnsi="Times New Roman" w:cs="Times New Roman"/>
          <w:sz w:val="24"/>
          <w:szCs w:val="24"/>
          <w:lang w:eastAsia="pl-PL"/>
        </w:rPr>
        <w:br/>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Nie </w:t>
      </w:r>
      <w:r w:rsidRPr="0038055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80556">
        <w:rPr>
          <w:rFonts w:ascii="Times New Roman" w:eastAsia="Times New Roman" w:hAnsi="Times New Roman" w:cs="Times New Roman"/>
          <w:sz w:val="24"/>
          <w:szCs w:val="24"/>
          <w:lang w:eastAsia="pl-PL"/>
        </w:rPr>
        <w:br/>
        <w:t xml:space="preserve">Nie </w:t>
      </w:r>
      <w:r w:rsidRPr="00380556">
        <w:rPr>
          <w:rFonts w:ascii="Times New Roman" w:eastAsia="Times New Roman" w:hAnsi="Times New Roman" w:cs="Times New Roman"/>
          <w:sz w:val="24"/>
          <w:szCs w:val="24"/>
          <w:lang w:eastAsia="pl-PL"/>
        </w:rPr>
        <w:br/>
        <w:t xml:space="preserve">Informacje dodatkowe: </w:t>
      </w:r>
      <w:r w:rsidRPr="00380556">
        <w:rPr>
          <w:rFonts w:ascii="Times New Roman" w:eastAsia="Times New Roman" w:hAnsi="Times New Roman" w:cs="Times New Roman"/>
          <w:sz w:val="24"/>
          <w:szCs w:val="24"/>
          <w:lang w:eastAsia="pl-PL"/>
        </w:rPr>
        <w:br/>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IV.1.5.) Wymaga się złożenia oferty wariantowej: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Nie </w:t>
      </w:r>
      <w:r w:rsidRPr="00380556">
        <w:rPr>
          <w:rFonts w:ascii="Times New Roman" w:eastAsia="Times New Roman" w:hAnsi="Times New Roman" w:cs="Times New Roman"/>
          <w:sz w:val="24"/>
          <w:szCs w:val="24"/>
          <w:lang w:eastAsia="pl-PL"/>
        </w:rPr>
        <w:br/>
        <w:t xml:space="preserve">Dopuszcza się złożenie oferty wariantowej </w:t>
      </w:r>
      <w:r w:rsidRPr="00380556">
        <w:rPr>
          <w:rFonts w:ascii="Times New Roman" w:eastAsia="Times New Roman" w:hAnsi="Times New Roman" w:cs="Times New Roman"/>
          <w:sz w:val="24"/>
          <w:szCs w:val="24"/>
          <w:lang w:eastAsia="pl-PL"/>
        </w:rPr>
        <w:br/>
        <w:t xml:space="preserve">Nie </w:t>
      </w:r>
      <w:r w:rsidRPr="0038055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80556">
        <w:rPr>
          <w:rFonts w:ascii="Times New Roman" w:eastAsia="Times New Roman" w:hAnsi="Times New Roman" w:cs="Times New Roman"/>
          <w:sz w:val="24"/>
          <w:szCs w:val="24"/>
          <w:lang w:eastAsia="pl-PL"/>
        </w:rPr>
        <w:br/>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Liczba wykonawców   </w:t>
      </w:r>
      <w:r w:rsidRPr="00380556">
        <w:rPr>
          <w:rFonts w:ascii="Times New Roman" w:eastAsia="Times New Roman" w:hAnsi="Times New Roman" w:cs="Times New Roman"/>
          <w:sz w:val="24"/>
          <w:szCs w:val="24"/>
          <w:lang w:eastAsia="pl-PL"/>
        </w:rPr>
        <w:br/>
        <w:t xml:space="preserve">Przewidywana minimalna liczba wykonawców </w:t>
      </w:r>
      <w:r w:rsidRPr="00380556">
        <w:rPr>
          <w:rFonts w:ascii="Times New Roman" w:eastAsia="Times New Roman" w:hAnsi="Times New Roman" w:cs="Times New Roman"/>
          <w:sz w:val="24"/>
          <w:szCs w:val="24"/>
          <w:lang w:eastAsia="pl-PL"/>
        </w:rPr>
        <w:br/>
        <w:t xml:space="preserve">Maksymalna liczba wykonawców   </w:t>
      </w:r>
      <w:r w:rsidRPr="00380556">
        <w:rPr>
          <w:rFonts w:ascii="Times New Roman" w:eastAsia="Times New Roman" w:hAnsi="Times New Roman" w:cs="Times New Roman"/>
          <w:sz w:val="24"/>
          <w:szCs w:val="24"/>
          <w:lang w:eastAsia="pl-PL"/>
        </w:rPr>
        <w:br/>
        <w:t xml:space="preserve">Kryteria selekcji wykonawców: </w:t>
      </w:r>
      <w:r w:rsidRPr="00380556">
        <w:rPr>
          <w:rFonts w:ascii="Times New Roman" w:eastAsia="Times New Roman" w:hAnsi="Times New Roman" w:cs="Times New Roman"/>
          <w:sz w:val="24"/>
          <w:szCs w:val="24"/>
          <w:lang w:eastAsia="pl-PL"/>
        </w:rPr>
        <w:br/>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IV.1.7) Informacje na temat umowy ramowej lub dynamicznego systemu zakupów: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Umowa ramowa będzie zawarta: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t xml:space="preserve">Czy przewiduje się ograniczenie liczby uczestników umowy ramowej: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t xml:space="preserve">Przewidziana maksymalna liczba uczestników umowy ramowej: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t xml:space="preserve">Informacje dodatkowe: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lastRenderedPageBreak/>
        <w:t xml:space="preserve">Zamówienie obejmuje ustanowienie dynamicznego systemu zakupów: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t xml:space="preserve">Informacje dodatkowe: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80556">
        <w:rPr>
          <w:rFonts w:ascii="Times New Roman" w:eastAsia="Times New Roman" w:hAnsi="Times New Roman" w:cs="Times New Roman"/>
          <w:sz w:val="24"/>
          <w:szCs w:val="24"/>
          <w:lang w:eastAsia="pl-PL"/>
        </w:rPr>
        <w:br/>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IV.1.8) Aukcja elektroniczna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Przewidziane jest przeprowadzenie aukcji elektronicznej </w:t>
      </w:r>
      <w:r w:rsidRPr="00380556">
        <w:rPr>
          <w:rFonts w:ascii="Times New Roman" w:eastAsia="Times New Roman" w:hAnsi="Times New Roman" w:cs="Times New Roman"/>
          <w:i/>
          <w:iCs/>
          <w:sz w:val="24"/>
          <w:szCs w:val="24"/>
          <w:lang w:eastAsia="pl-PL"/>
        </w:rPr>
        <w:t xml:space="preserve">(przetarg nieograniczony, przetarg ograniczony, negocjacje z ogłoszeniem) </w:t>
      </w:r>
      <w:r w:rsidRPr="00380556">
        <w:rPr>
          <w:rFonts w:ascii="Times New Roman" w:eastAsia="Times New Roman" w:hAnsi="Times New Roman" w:cs="Times New Roman"/>
          <w:sz w:val="24"/>
          <w:szCs w:val="24"/>
          <w:lang w:eastAsia="pl-PL"/>
        </w:rPr>
        <w:t xml:space="preserve">Nie </w:t>
      </w:r>
      <w:r w:rsidRPr="00380556">
        <w:rPr>
          <w:rFonts w:ascii="Times New Roman" w:eastAsia="Times New Roman" w:hAnsi="Times New Roman" w:cs="Times New Roman"/>
          <w:sz w:val="24"/>
          <w:szCs w:val="24"/>
          <w:lang w:eastAsia="pl-PL"/>
        </w:rPr>
        <w:br/>
        <w:t xml:space="preserve">Należy podać adres strony internetowej, na której aukcja będzie prowadzona: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80556">
        <w:rPr>
          <w:rFonts w:ascii="Times New Roman" w:eastAsia="Times New Roman" w:hAnsi="Times New Roman" w:cs="Times New Roman"/>
          <w:sz w:val="24"/>
          <w:szCs w:val="24"/>
          <w:lang w:eastAsia="pl-PL"/>
        </w:rPr>
        <w:br/>
        <w:t xml:space="preserve">Informacje dotyczące przebiegu aukcji elektronicznej: </w:t>
      </w:r>
      <w:r w:rsidRPr="0038055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8055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80556">
        <w:rPr>
          <w:rFonts w:ascii="Times New Roman" w:eastAsia="Times New Roman" w:hAnsi="Times New Roman" w:cs="Times New Roman"/>
          <w:sz w:val="24"/>
          <w:szCs w:val="24"/>
          <w:lang w:eastAsia="pl-PL"/>
        </w:rPr>
        <w:br/>
        <w:t xml:space="preserve">Wymagania dotyczące rejestracji i identyfikacji wykonawców w aukcji elektronicznej: </w:t>
      </w:r>
      <w:r w:rsidRPr="00380556">
        <w:rPr>
          <w:rFonts w:ascii="Times New Roman" w:eastAsia="Times New Roman" w:hAnsi="Times New Roman" w:cs="Times New Roman"/>
          <w:sz w:val="24"/>
          <w:szCs w:val="24"/>
          <w:lang w:eastAsia="pl-PL"/>
        </w:rPr>
        <w:br/>
        <w:t xml:space="preserve">Informacje o liczbie etapów aukcji elektronicznej i czasie ich trwania: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t xml:space="preserve">Czas trwania: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80556">
        <w:rPr>
          <w:rFonts w:ascii="Times New Roman" w:eastAsia="Times New Roman" w:hAnsi="Times New Roman" w:cs="Times New Roman"/>
          <w:sz w:val="24"/>
          <w:szCs w:val="24"/>
          <w:lang w:eastAsia="pl-PL"/>
        </w:rPr>
        <w:br/>
        <w:t xml:space="preserve">Warunki zamknięcia aukcji elektronicznej: </w:t>
      </w:r>
      <w:r w:rsidRPr="00380556">
        <w:rPr>
          <w:rFonts w:ascii="Times New Roman" w:eastAsia="Times New Roman" w:hAnsi="Times New Roman" w:cs="Times New Roman"/>
          <w:sz w:val="24"/>
          <w:szCs w:val="24"/>
          <w:lang w:eastAsia="pl-PL"/>
        </w:rPr>
        <w:br/>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IV.2) KRYTERIA OCENY OFERT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IV.2.1) Kryteria oceny ofert: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IV.2.2) Kryteria</w:t>
      </w:r>
      <w:r w:rsidRPr="0038055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Znaczenie</w:t>
            </w:r>
          </w:p>
        </w:tc>
      </w:tr>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60,00</w:t>
            </w:r>
          </w:p>
        </w:tc>
      </w:tr>
      <w:tr w:rsidR="00380556" w:rsidRPr="00380556" w:rsidTr="00380556">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40,00</w:t>
            </w:r>
          </w:p>
        </w:tc>
      </w:tr>
    </w:tbl>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80556">
        <w:rPr>
          <w:rFonts w:ascii="Times New Roman" w:eastAsia="Times New Roman" w:hAnsi="Times New Roman" w:cs="Times New Roman"/>
          <w:b/>
          <w:bCs/>
          <w:sz w:val="24"/>
          <w:szCs w:val="24"/>
          <w:lang w:eastAsia="pl-PL"/>
        </w:rPr>
        <w:t>Pzp</w:t>
      </w:r>
      <w:proofErr w:type="spellEnd"/>
      <w:r w:rsidRPr="00380556">
        <w:rPr>
          <w:rFonts w:ascii="Times New Roman" w:eastAsia="Times New Roman" w:hAnsi="Times New Roman" w:cs="Times New Roman"/>
          <w:b/>
          <w:bCs/>
          <w:sz w:val="24"/>
          <w:szCs w:val="24"/>
          <w:lang w:eastAsia="pl-PL"/>
        </w:rPr>
        <w:t xml:space="preserve"> </w:t>
      </w:r>
      <w:r w:rsidRPr="00380556">
        <w:rPr>
          <w:rFonts w:ascii="Times New Roman" w:eastAsia="Times New Roman" w:hAnsi="Times New Roman" w:cs="Times New Roman"/>
          <w:sz w:val="24"/>
          <w:szCs w:val="24"/>
          <w:lang w:eastAsia="pl-PL"/>
        </w:rPr>
        <w:t xml:space="preserve">(przetarg nieograniczony)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IV.3.1) Informacje na temat negocjacji z ogłoszeniem</w:t>
      </w:r>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t xml:space="preserve">Minimalne wymagania, które muszą spełniać wszystkie oferty: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80556">
        <w:rPr>
          <w:rFonts w:ascii="Times New Roman" w:eastAsia="Times New Roman" w:hAnsi="Times New Roman" w:cs="Times New Roman"/>
          <w:sz w:val="24"/>
          <w:szCs w:val="24"/>
          <w:lang w:eastAsia="pl-PL"/>
        </w:rPr>
        <w:br/>
        <w:t xml:space="preserve">Przewidziany jest podział negocjacji na etapy w celu ograniczenia liczby ofert: </w:t>
      </w:r>
      <w:r w:rsidRPr="00380556">
        <w:rPr>
          <w:rFonts w:ascii="Times New Roman" w:eastAsia="Times New Roman" w:hAnsi="Times New Roman" w:cs="Times New Roman"/>
          <w:sz w:val="24"/>
          <w:szCs w:val="24"/>
          <w:lang w:eastAsia="pl-PL"/>
        </w:rPr>
        <w:br/>
        <w:t xml:space="preserve">Należy podać informacje na temat etapów negocjacji (w tym liczbę etapów):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t xml:space="preserve">Informacje dodatkowe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IV.3.2) Informacje na temat dialogu konkurencyjnego</w:t>
      </w:r>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t xml:space="preserve">Wstępny harmonogram postępowania: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t xml:space="preserve">Podział dialogu na etapy w celu ograniczenia liczby rozwiązań: </w:t>
      </w:r>
      <w:r w:rsidRPr="00380556">
        <w:rPr>
          <w:rFonts w:ascii="Times New Roman" w:eastAsia="Times New Roman" w:hAnsi="Times New Roman" w:cs="Times New Roman"/>
          <w:sz w:val="24"/>
          <w:szCs w:val="24"/>
          <w:lang w:eastAsia="pl-PL"/>
        </w:rPr>
        <w:br/>
        <w:t xml:space="preserve">Należy podać informacje na temat etapów dialogu: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t xml:space="preserve">Informacje dodatkowe: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IV.3.3) Informacje na temat partnerstwa innowacyjnego</w:t>
      </w:r>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t xml:space="preserve">Informacje dodatkowe: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IV.4) Licytacja elektroniczna </w:t>
      </w:r>
      <w:r w:rsidRPr="00380556">
        <w:rPr>
          <w:rFonts w:ascii="Times New Roman" w:eastAsia="Times New Roman" w:hAnsi="Times New Roman" w:cs="Times New Roman"/>
          <w:sz w:val="24"/>
          <w:szCs w:val="24"/>
          <w:lang w:eastAsia="pl-PL"/>
        </w:rPr>
        <w:br/>
        <w:t xml:space="preserve">Adres strony internetowej, na której będzie prowadzona licytacja elektroniczna: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Informacje o liczbie etapów licytacji elektronicznej i czasie ich trwania: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Czas trwania: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380556">
        <w:rPr>
          <w:rFonts w:ascii="Times New Roman" w:eastAsia="Times New Roman" w:hAnsi="Times New Roman" w:cs="Times New Roman"/>
          <w:sz w:val="24"/>
          <w:szCs w:val="24"/>
          <w:lang w:eastAsia="pl-PL"/>
        </w:rPr>
        <w:br/>
        <w:t xml:space="preserve">Data: godzina: </w:t>
      </w:r>
      <w:r w:rsidRPr="00380556">
        <w:rPr>
          <w:rFonts w:ascii="Times New Roman" w:eastAsia="Times New Roman" w:hAnsi="Times New Roman" w:cs="Times New Roman"/>
          <w:sz w:val="24"/>
          <w:szCs w:val="24"/>
          <w:lang w:eastAsia="pl-PL"/>
        </w:rPr>
        <w:br/>
        <w:t xml:space="preserve">Termin otwarcia licytacji elektronicznej: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Termin i warunki zamknięcia licytacji elektronicznej: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t xml:space="preserve">Wymagania dotyczące zabezpieczenia należytego wykonania umowy: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t xml:space="preserve">1. Zamawiający żąda wniesienia zabezpieczenia wykonania umowy. Zabezpieczenia należytego wykonania umowy w wysokości 10% ceny całkowitej brutto podanej w ofercie należy złożyć przed podpisaniem umowy w jednej z następujących postaci: - pieniądzu; - poręczeniach bankowych lub poręczeniach spółdzielczej kasy oszczędnościowo kredytowej; z tym, że zobowiązanie kasy jest zawsze zobowiązaniem pieniężnym; - gwarancjach bankowych; - gwarancjach ubezpieczeniowych - poręczeniach udzielanych przez podmioty, o których mowa w art. 6b ust. 5 pkt. 2 ustawy z dnia 9 listopada 2000 r. o utworzeniu Polskiej Agencji Rozwoju Przedsiębiorczości (Dz. U. 2014 poz. 1804 ze zm.) 2. Zabezpieczenie należytego wykonania umowy wnoszone przelewem należy wpłacać na konto Bank Spółdzielczy w Wojsławicach nr rachunku 66 8188 0003 2001 0000 1821 0007. Jako tytuł wpłaty należy wpisać „Zabezpieczenie wykonania umowy nr GOSR.271.1.2020”. 3. W przypadku wnoszenia zabezpieczenia należytego wykonania umowy przelewem, za termin jego wniesienia przyjmuje się datę i godzinę uznania rachunku Zamawiającego 4. 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 1) 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dni po odbiorze. 2) 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 dni. UWAGA: 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zamawiającego, przed podpisaniem umowy.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lang w:eastAsia="pl-PL"/>
        </w:rPr>
        <w:br/>
        <w:t xml:space="preserve">Informacje dodatkowe: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r w:rsidRPr="00380556">
        <w:rPr>
          <w:rFonts w:ascii="Times New Roman" w:eastAsia="Times New Roman" w:hAnsi="Times New Roman" w:cs="Times New Roman"/>
          <w:b/>
          <w:bCs/>
          <w:sz w:val="24"/>
          <w:szCs w:val="24"/>
          <w:lang w:eastAsia="pl-PL"/>
        </w:rPr>
        <w:t>IV.5) ZMIANA UMOWY</w:t>
      </w:r>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80556">
        <w:rPr>
          <w:rFonts w:ascii="Times New Roman" w:eastAsia="Times New Roman" w:hAnsi="Times New Roman" w:cs="Times New Roman"/>
          <w:sz w:val="24"/>
          <w:szCs w:val="24"/>
          <w:lang w:eastAsia="pl-PL"/>
        </w:rPr>
        <w:t xml:space="preserve"> Tak </w:t>
      </w:r>
      <w:r w:rsidRPr="00380556">
        <w:rPr>
          <w:rFonts w:ascii="Times New Roman" w:eastAsia="Times New Roman" w:hAnsi="Times New Roman" w:cs="Times New Roman"/>
          <w:sz w:val="24"/>
          <w:szCs w:val="24"/>
          <w:lang w:eastAsia="pl-PL"/>
        </w:rPr>
        <w:br/>
        <w:t xml:space="preserve">Należy wskazać zakres, charakter zmian oraz warunki wprowadzenia zmian: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lastRenderedPageBreak/>
        <w:t xml:space="preserve">1. Zakazuje się istotnych zmian postanowień zawartej Umowy w stosunku do treści oferty, na podstawie której dokonano wyboru Wykonawcy, za wyjątkiem przesłanek przewidzianych w art. 144 </w:t>
      </w:r>
      <w:proofErr w:type="spellStart"/>
      <w:r w:rsidRPr="00380556">
        <w:rPr>
          <w:rFonts w:ascii="Times New Roman" w:eastAsia="Times New Roman" w:hAnsi="Times New Roman" w:cs="Times New Roman"/>
          <w:sz w:val="24"/>
          <w:szCs w:val="24"/>
          <w:lang w:eastAsia="pl-PL"/>
        </w:rPr>
        <w:t>Pzp</w:t>
      </w:r>
      <w:proofErr w:type="spellEnd"/>
      <w:r w:rsidRPr="00380556">
        <w:rPr>
          <w:rFonts w:ascii="Times New Roman" w:eastAsia="Times New Roman" w:hAnsi="Times New Roman" w:cs="Times New Roman"/>
          <w:sz w:val="24"/>
          <w:szCs w:val="24"/>
          <w:lang w:eastAsia="pl-PL"/>
        </w:rPr>
        <w:t xml:space="preserve"> oraz następujących przypadków: 1) zmiany terminu realizacji zamówienia: a) poprzez jego przedłużenie ze względu na przyczyny leżące po stronie Zamawiającego dotyczące np. braku przygotowania/przekazania miejsca realizacji; b) poprzez jego przedłużenie ze względu na obiektywne przyczyny niezawinione przez Strony w tym również spowodowane przez tzw. „siłę wyższą” np. pożar, zalanie itp.; We wskazanych powyżej przypadkach Strony obowiązane są do pisemnego poinformowania się o zaistniałych okolicznościach wraz z ich szczegółowym opisaniem. W przypadku ustalenia, iż zaistniały przesłanki umożliwiające dokonanie tej zmiany, Zamawiający wyrazi pisemną zgodę. 2) poprawy jakości lub innych parametrów charakterystycznych dla danego elementu przedmiotu zamówienia lub zmiany technologii na równoważną lub lepszą, podniesienia wydajności urządzeń oraz bezpieczeństwa, w sytuacji wycofania z rynku przez producenta lub zakończenia produkcji zaoferowanego przez Wykonawcę przedmiotu zamówienia bądź jego elementów oraz gdy zmiana jest korzystna dla Zamawiającego. W takim przypadku, Wykonawca obowiązany jest poinformować Zamawiającego (w terminie obowiązywania Umowy) o zaistniałej sytuacji wraz ze szczegółowym opisaniem zaistniałej zmiany i wynikających stąd konsekwencji, przedstawiając jednocześnie stosowne oświadczenie producenta. W przypadku ustalenia, iż zaistniały przesłanki umożliwiające dokonanie tej zmiany, Zamawiający wyrazi pisemną zgodę; 3) 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W zależności od tego, czy zmiana wpływa na zapisy Umowy czy też wyłącznie na kwestie nie uregulowane w niej pisemnie, Zamawiający przygotuje odpowiednio Aneks do Umowy lub wyrazi pisemną zgodę na zmianę. 2. Wszystkie zmiany dotyczące ustaleń zawartych w niniejszej umowie wymagają każdorazowo formy pisemnej w postaci aneksu pod rygorem nieważności,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IV.6) INFORMACJE ADMINISTRACYJNE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IV.6.1) Sposób udostępniania informacji o charakterze poufnym </w:t>
      </w:r>
      <w:r w:rsidRPr="00380556">
        <w:rPr>
          <w:rFonts w:ascii="Times New Roman" w:eastAsia="Times New Roman" w:hAnsi="Times New Roman" w:cs="Times New Roman"/>
          <w:i/>
          <w:iCs/>
          <w:sz w:val="24"/>
          <w:szCs w:val="24"/>
          <w:lang w:eastAsia="pl-PL"/>
        </w:rPr>
        <w:t xml:space="preserve">(jeżeli dotyczy):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Środki służące ochronie informacji o charakterze poufnym</w:t>
      </w:r>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80556">
        <w:rPr>
          <w:rFonts w:ascii="Times New Roman" w:eastAsia="Times New Roman" w:hAnsi="Times New Roman" w:cs="Times New Roman"/>
          <w:sz w:val="24"/>
          <w:szCs w:val="24"/>
          <w:lang w:eastAsia="pl-PL"/>
        </w:rPr>
        <w:br/>
        <w:t xml:space="preserve">Data: , godzina: , </w:t>
      </w:r>
      <w:r w:rsidRPr="0038055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t xml:space="preserve">Wskazać powody: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80556">
        <w:rPr>
          <w:rFonts w:ascii="Times New Roman" w:eastAsia="Times New Roman" w:hAnsi="Times New Roman" w:cs="Times New Roman"/>
          <w:sz w:val="24"/>
          <w:szCs w:val="24"/>
          <w:lang w:eastAsia="pl-PL"/>
        </w:rPr>
        <w:br/>
        <w:t xml:space="preserve">&gt;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 xml:space="preserve">IV.6.3) Termin związania ofertą: </w:t>
      </w:r>
      <w:r w:rsidRPr="00380556">
        <w:rPr>
          <w:rFonts w:ascii="Times New Roman" w:eastAsia="Times New Roman" w:hAnsi="Times New Roman" w:cs="Times New Roman"/>
          <w:sz w:val="24"/>
          <w:szCs w:val="24"/>
          <w:lang w:eastAsia="pl-PL"/>
        </w:rPr>
        <w:t xml:space="preserve">do: okres w dniach: 30 (od ostatecznego terminu składania ofert)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80556">
        <w:rPr>
          <w:rFonts w:ascii="Times New Roman" w:eastAsia="Times New Roman" w:hAnsi="Times New Roman" w:cs="Times New Roman"/>
          <w:sz w:val="24"/>
          <w:szCs w:val="24"/>
          <w:lang w:eastAsia="pl-PL"/>
        </w:rPr>
        <w:t xml:space="preserve"> Tak </w:t>
      </w:r>
      <w:r w:rsidRPr="00380556">
        <w:rPr>
          <w:rFonts w:ascii="Times New Roman" w:eastAsia="Times New Roman" w:hAnsi="Times New Roman" w:cs="Times New Roman"/>
          <w:sz w:val="24"/>
          <w:szCs w:val="24"/>
          <w:lang w:eastAsia="pl-PL"/>
        </w:rPr>
        <w:br/>
      </w:r>
      <w:r w:rsidRPr="00380556">
        <w:rPr>
          <w:rFonts w:ascii="Times New Roman" w:eastAsia="Times New Roman" w:hAnsi="Times New Roman" w:cs="Times New Roman"/>
          <w:b/>
          <w:bCs/>
          <w:sz w:val="24"/>
          <w:szCs w:val="24"/>
          <w:lang w:eastAsia="pl-PL"/>
        </w:rPr>
        <w:lastRenderedPageBreak/>
        <w:t>IV.6.5) Informacje dodatkowe:</w:t>
      </w:r>
      <w:r w:rsidRPr="00380556">
        <w:rPr>
          <w:rFonts w:ascii="Times New Roman" w:eastAsia="Times New Roman" w:hAnsi="Times New Roman" w:cs="Times New Roman"/>
          <w:sz w:val="24"/>
          <w:szCs w:val="24"/>
          <w:lang w:eastAsia="pl-PL"/>
        </w:rPr>
        <w:t xml:space="preserve"> </w:t>
      </w:r>
      <w:r w:rsidRPr="00380556">
        <w:rPr>
          <w:rFonts w:ascii="Times New Roman" w:eastAsia="Times New Roman" w:hAnsi="Times New Roman" w:cs="Times New Roman"/>
          <w:sz w:val="24"/>
          <w:szCs w:val="24"/>
          <w:lang w:eastAsia="pl-PL"/>
        </w:rPr>
        <w:br/>
      </w:r>
    </w:p>
    <w:p w:rsidR="00380556" w:rsidRPr="00380556" w:rsidRDefault="00380556" w:rsidP="00380556">
      <w:pPr>
        <w:spacing w:after="0" w:line="240" w:lineRule="auto"/>
        <w:jc w:val="center"/>
        <w:rPr>
          <w:rFonts w:ascii="Times New Roman" w:eastAsia="Times New Roman" w:hAnsi="Times New Roman" w:cs="Times New Roman"/>
          <w:sz w:val="24"/>
          <w:szCs w:val="24"/>
          <w:lang w:eastAsia="pl-PL"/>
        </w:rPr>
      </w:pPr>
      <w:r w:rsidRPr="00380556">
        <w:rPr>
          <w:rFonts w:ascii="Times New Roman" w:eastAsia="Times New Roman" w:hAnsi="Times New Roman" w:cs="Times New Roman"/>
          <w:sz w:val="24"/>
          <w:szCs w:val="24"/>
          <w:u w:val="single"/>
          <w:lang w:eastAsia="pl-PL"/>
        </w:rPr>
        <w:t xml:space="preserve">ZAŁĄCZNIK I - INFORMACJE DOTYCZĄCE OFERT CZĘŚCIOWYCH </w:t>
      </w:r>
    </w:p>
    <w:p w:rsidR="00380556" w:rsidRPr="00380556" w:rsidRDefault="00380556" w:rsidP="00380556">
      <w:pPr>
        <w:spacing w:after="0" w:line="240" w:lineRule="auto"/>
        <w:rPr>
          <w:rFonts w:ascii="Times New Roman" w:eastAsia="Times New Roman" w:hAnsi="Times New Roman" w:cs="Times New Roman"/>
          <w:sz w:val="24"/>
          <w:szCs w:val="24"/>
          <w:lang w:eastAsia="pl-PL"/>
        </w:rPr>
      </w:pPr>
    </w:p>
    <w:p w:rsidR="00380556" w:rsidRPr="00380556" w:rsidRDefault="00380556" w:rsidP="00380556">
      <w:pPr>
        <w:spacing w:after="0" w:line="240" w:lineRule="auto"/>
        <w:rPr>
          <w:rFonts w:ascii="Times New Roman" w:eastAsia="Times New Roman" w:hAnsi="Times New Roman" w:cs="Times New Roman"/>
          <w:sz w:val="24"/>
          <w:szCs w:val="24"/>
          <w:lang w:eastAsia="pl-PL"/>
        </w:rPr>
      </w:pPr>
    </w:p>
    <w:p w:rsidR="00380556" w:rsidRPr="00380556" w:rsidRDefault="00380556" w:rsidP="00380556">
      <w:pPr>
        <w:spacing w:after="240" w:line="240" w:lineRule="auto"/>
        <w:rPr>
          <w:rFonts w:ascii="Times New Roman" w:eastAsia="Times New Roman" w:hAnsi="Times New Roman" w:cs="Times New Roman"/>
          <w:sz w:val="24"/>
          <w:szCs w:val="24"/>
          <w:lang w:eastAsia="pl-PL"/>
        </w:rPr>
      </w:pPr>
    </w:p>
    <w:p w:rsidR="00380556" w:rsidRPr="00380556" w:rsidRDefault="00380556" w:rsidP="0038055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80556" w:rsidRPr="00380556" w:rsidTr="00380556">
        <w:trPr>
          <w:tblCellSpacing w:w="15" w:type="dxa"/>
        </w:trPr>
        <w:tc>
          <w:tcPr>
            <w:tcW w:w="0" w:type="auto"/>
            <w:vAlign w:val="center"/>
            <w:hideMark/>
          </w:tcPr>
          <w:p w:rsidR="00380556" w:rsidRPr="00380556" w:rsidRDefault="00380556" w:rsidP="00380556">
            <w:pPr>
              <w:spacing w:after="0" w:line="240" w:lineRule="auto"/>
              <w:rPr>
                <w:rFonts w:ascii="Times New Roman" w:eastAsia="Times New Roman" w:hAnsi="Times New Roman" w:cs="Times New Roman"/>
                <w:sz w:val="24"/>
                <w:szCs w:val="24"/>
                <w:lang w:eastAsia="pl-PL"/>
              </w:rPr>
            </w:pPr>
          </w:p>
        </w:tc>
      </w:tr>
    </w:tbl>
    <w:p w:rsidR="00380556" w:rsidRPr="00380556" w:rsidRDefault="00380556" w:rsidP="00380556">
      <w:pPr>
        <w:pBdr>
          <w:top w:val="single" w:sz="6" w:space="1" w:color="auto"/>
        </w:pBdr>
        <w:spacing w:after="0" w:line="240" w:lineRule="auto"/>
        <w:jc w:val="center"/>
        <w:rPr>
          <w:rFonts w:ascii="Arial" w:eastAsia="Times New Roman" w:hAnsi="Arial" w:cs="Arial"/>
          <w:vanish/>
          <w:sz w:val="16"/>
          <w:szCs w:val="16"/>
          <w:lang w:eastAsia="pl-PL"/>
        </w:rPr>
      </w:pPr>
      <w:r w:rsidRPr="00380556">
        <w:rPr>
          <w:rFonts w:ascii="Arial" w:eastAsia="Times New Roman" w:hAnsi="Arial" w:cs="Arial"/>
          <w:vanish/>
          <w:sz w:val="16"/>
          <w:szCs w:val="16"/>
          <w:lang w:eastAsia="pl-PL"/>
        </w:rPr>
        <w:t>Dół formularza</w:t>
      </w:r>
    </w:p>
    <w:p w:rsidR="00380556" w:rsidRPr="00380556" w:rsidRDefault="00380556" w:rsidP="00380556">
      <w:pPr>
        <w:pBdr>
          <w:bottom w:val="single" w:sz="6" w:space="1" w:color="auto"/>
        </w:pBdr>
        <w:spacing w:after="0" w:line="240" w:lineRule="auto"/>
        <w:jc w:val="center"/>
        <w:rPr>
          <w:rFonts w:ascii="Arial" w:eastAsia="Times New Roman" w:hAnsi="Arial" w:cs="Arial"/>
          <w:vanish/>
          <w:sz w:val="16"/>
          <w:szCs w:val="16"/>
          <w:lang w:eastAsia="pl-PL"/>
        </w:rPr>
      </w:pPr>
      <w:r w:rsidRPr="00380556">
        <w:rPr>
          <w:rFonts w:ascii="Arial" w:eastAsia="Times New Roman" w:hAnsi="Arial" w:cs="Arial"/>
          <w:vanish/>
          <w:sz w:val="16"/>
          <w:szCs w:val="16"/>
          <w:lang w:eastAsia="pl-PL"/>
        </w:rPr>
        <w:t>Początek formularza</w:t>
      </w:r>
    </w:p>
    <w:p w:rsidR="00380556" w:rsidRPr="00380556" w:rsidRDefault="00380556" w:rsidP="00380556">
      <w:pPr>
        <w:pBdr>
          <w:top w:val="single" w:sz="6" w:space="1" w:color="auto"/>
        </w:pBdr>
        <w:spacing w:after="0" w:line="240" w:lineRule="auto"/>
        <w:jc w:val="center"/>
        <w:rPr>
          <w:rFonts w:ascii="Arial" w:eastAsia="Times New Roman" w:hAnsi="Arial" w:cs="Arial"/>
          <w:vanish/>
          <w:sz w:val="16"/>
          <w:szCs w:val="16"/>
          <w:lang w:eastAsia="pl-PL"/>
        </w:rPr>
      </w:pPr>
      <w:r w:rsidRPr="00380556">
        <w:rPr>
          <w:rFonts w:ascii="Arial" w:eastAsia="Times New Roman" w:hAnsi="Arial" w:cs="Arial"/>
          <w:vanish/>
          <w:sz w:val="16"/>
          <w:szCs w:val="16"/>
          <w:lang w:eastAsia="pl-PL"/>
        </w:rPr>
        <w:t>Dół formularza</w:t>
      </w:r>
    </w:p>
    <w:p w:rsidR="005038D6" w:rsidRDefault="005038D6">
      <w:bookmarkStart w:id="0" w:name="_GoBack"/>
      <w:bookmarkEnd w:id="0"/>
    </w:p>
    <w:sectPr w:rsidR="00503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75"/>
    <w:rsid w:val="00380556"/>
    <w:rsid w:val="00465D75"/>
    <w:rsid w:val="00503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8055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8055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8055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8055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8055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8055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8055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8055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4847">
      <w:bodyDiv w:val="1"/>
      <w:marLeft w:val="0"/>
      <w:marRight w:val="0"/>
      <w:marTop w:val="0"/>
      <w:marBottom w:val="0"/>
      <w:divBdr>
        <w:top w:val="none" w:sz="0" w:space="0" w:color="auto"/>
        <w:left w:val="none" w:sz="0" w:space="0" w:color="auto"/>
        <w:bottom w:val="none" w:sz="0" w:space="0" w:color="auto"/>
        <w:right w:val="none" w:sz="0" w:space="0" w:color="auto"/>
      </w:divBdr>
      <w:divsChild>
        <w:div w:id="1947232781">
          <w:marLeft w:val="0"/>
          <w:marRight w:val="0"/>
          <w:marTop w:val="0"/>
          <w:marBottom w:val="0"/>
          <w:divBdr>
            <w:top w:val="none" w:sz="0" w:space="0" w:color="auto"/>
            <w:left w:val="none" w:sz="0" w:space="0" w:color="auto"/>
            <w:bottom w:val="none" w:sz="0" w:space="0" w:color="auto"/>
            <w:right w:val="none" w:sz="0" w:space="0" w:color="auto"/>
          </w:divBdr>
          <w:divsChild>
            <w:div w:id="308704690">
              <w:marLeft w:val="0"/>
              <w:marRight w:val="0"/>
              <w:marTop w:val="0"/>
              <w:marBottom w:val="0"/>
              <w:divBdr>
                <w:top w:val="none" w:sz="0" w:space="0" w:color="auto"/>
                <w:left w:val="none" w:sz="0" w:space="0" w:color="auto"/>
                <w:bottom w:val="none" w:sz="0" w:space="0" w:color="auto"/>
                <w:right w:val="none" w:sz="0" w:space="0" w:color="auto"/>
              </w:divBdr>
              <w:divsChild>
                <w:div w:id="104203389">
                  <w:marLeft w:val="0"/>
                  <w:marRight w:val="0"/>
                  <w:marTop w:val="0"/>
                  <w:marBottom w:val="0"/>
                  <w:divBdr>
                    <w:top w:val="none" w:sz="0" w:space="0" w:color="auto"/>
                    <w:left w:val="none" w:sz="0" w:space="0" w:color="auto"/>
                    <w:bottom w:val="none" w:sz="0" w:space="0" w:color="auto"/>
                    <w:right w:val="none" w:sz="0" w:space="0" w:color="auto"/>
                  </w:divBdr>
                </w:div>
                <w:div w:id="1097285670">
                  <w:marLeft w:val="0"/>
                  <w:marRight w:val="0"/>
                  <w:marTop w:val="0"/>
                  <w:marBottom w:val="0"/>
                  <w:divBdr>
                    <w:top w:val="none" w:sz="0" w:space="0" w:color="auto"/>
                    <w:left w:val="none" w:sz="0" w:space="0" w:color="auto"/>
                    <w:bottom w:val="none" w:sz="0" w:space="0" w:color="auto"/>
                    <w:right w:val="none" w:sz="0" w:space="0" w:color="auto"/>
                  </w:divBdr>
                </w:div>
                <w:div w:id="1978023313">
                  <w:marLeft w:val="0"/>
                  <w:marRight w:val="0"/>
                  <w:marTop w:val="0"/>
                  <w:marBottom w:val="0"/>
                  <w:divBdr>
                    <w:top w:val="none" w:sz="0" w:space="0" w:color="auto"/>
                    <w:left w:val="none" w:sz="0" w:space="0" w:color="auto"/>
                    <w:bottom w:val="none" w:sz="0" w:space="0" w:color="auto"/>
                    <w:right w:val="none" w:sz="0" w:space="0" w:color="auto"/>
                  </w:divBdr>
                  <w:divsChild>
                    <w:div w:id="29494129">
                      <w:marLeft w:val="0"/>
                      <w:marRight w:val="0"/>
                      <w:marTop w:val="0"/>
                      <w:marBottom w:val="0"/>
                      <w:divBdr>
                        <w:top w:val="none" w:sz="0" w:space="0" w:color="auto"/>
                        <w:left w:val="none" w:sz="0" w:space="0" w:color="auto"/>
                        <w:bottom w:val="none" w:sz="0" w:space="0" w:color="auto"/>
                        <w:right w:val="none" w:sz="0" w:space="0" w:color="auto"/>
                      </w:divBdr>
                    </w:div>
                  </w:divsChild>
                </w:div>
                <w:div w:id="601764517">
                  <w:marLeft w:val="0"/>
                  <w:marRight w:val="0"/>
                  <w:marTop w:val="0"/>
                  <w:marBottom w:val="0"/>
                  <w:divBdr>
                    <w:top w:val="none" w:sz="0" w:space="0" w:color="auto"/>
                    <w:left w:val="none" w:sz="0" w:space="0" w:color="auto"/>
                    <w:bottom w:val="none" w:sz="0" w:space="0" w:color="auto"/>
                    <w:right w:val="none" w:sz="0" w:space="0" w:color="auto"/>
                  </w:divBdr>
                  <w:divsChild>
                    <w:div w:id="2082828287">
                      <w:marLeft w:val="0"/>
                      <w:marRight w:val="0"/>
                      <w:marTop w:val="0"/>
                      <w:marBottom w:val="0"/>
                      <w:divBdr>
                        <w:top w:val="none" w:sz="0" w:space="0" w:color="auto"/>
                        <w:left w:val="none" w:sz="0" w:space="0" w:color="auto"/>
                        <w:bottom w:val="none" w:sz="0" w:space="0" w:color="auto"/>
                        <w:right w:val="none" w:sz="0" w:space="0" w:color="auto"/>
                      </w:divBdr>
                    </w:div>
                  </w:divsChild>
                </w:div>
                <w:div w:id="1122840758">
                  <w:marLeft w:val="0"/>
                  <w:marRight w:val="0"/>
                  <w:marTop w:val="0"/>
                  <w:marBottom w:val="0"/>
                  <w:divBdr>
                    <w:top w:val="none" w:sz="0" w:space="0" w:color="auto"/>
                    <w:left w:val="none" w:sz="0" w:space="0" w:color="auto"/>
                    <w:bottom w:val="none" w:sz="0" w:space="0" w:color="auto"/>
                    <w:right w:val="none" w:sz="0" w:space="0" w:color="auto"/>
                  </w:divBdr>
                  <w:divsChild>
                    <w:div w:id="2011372101">
                      <w:marLeft w:val="0"/>
                      <w:marRight w:val="0"/>
                      <w:marTop w:val="0"/>
                      <w:marBottom w:val="0"/>
                      <w:divBdr>
                        <w:top w:val="none" w:sz="0" w:space="0" w:color="auto"/>
                        <w:left w:val="none" w:sz="0" w:space="0" w:color="auto"/>
                        <w:bottom w:val="none" w:sz="0" w:space="0" w:color="auto"/>
                        <w:right w:val="none" w:sz="0" w:space="0" w:color="auto"/>
                      </w:divBdr>
                    </w:div>
                    <w:div w:id="1328940459">
                      <w:marLeft w:val="0"/>
                      <w:marRight w:val="0"/>
                      <w:marTop w:val="0"/>
                      <w:marBottom w:val="0"/>
                      <w:divBdr>
                        <w:top w:val="none" w:sz="0" w:space="0" w:color="auto"/>
                        <w:left w:val="none" w:sz="0" w:space="0" w:color="auto"/>
                        <w:bottom w:val="none" w:sz="0" w:space="0" w:color="auto"/>
                        <w:right w:val="none" w:sz="0" w:space="0" w:color="auto"/>
                      </w:divBdr>
                    </w:div>
                    <w:div w:id="1997761456">
                      <w:marLeft w:val="0"/>
                      <w:marRight w:val="0"/>
                      <w:marTop w:val="0"/>
                      <w:marBottom w:val="0"/>
                      <w:divBdr>
                        <w:top w:val="none" w:sz="0" w:space="0" w:color="auto"/>
                        <w:left w:val="none" w:sz="0" w:space="0" w:color="auto"/>
                        <w:bottom w:val="none" w:sz="0" w:space="0" w:color="auto"/>
                        <w:right w:val="none" w:sz="0" w:space="0" w:color="auto"/>
                      </w:divBdr>
                    </w:div>
                    <w:div w:id="1819298613">
                      <w:marLeft w:val="0"/>
                      <w:marRight w:val="0"/>
                      <w:marTop w:val="0"/>
                      <w:marBottom w:val="0"/>
                      <w:divBdr>
                        <w:top w:val="none" w:sz="0" w:space="0" w:color="auto"/>
                        <w:left w:val="none" w:sz="0" w:space="0" w:color="auto"/>
                        <w:bottom w:val="none" w:sz="0" w:space="0" w:color="auto"/>
                        <w:right w:val="none" w:sz="0" w:space="0" w:color="auto"/>
                      </w:divBdr>
                    </w:div>
                  </w:divsChild>
                </w:div>
                <w:div w:id="708652838">
                  <w:marLeft w:val="0"/>
                  <w:marRight w:val="0"/>
                  <w:marTop w:val="0"/>
                  <w:marBottom w:val="0"/>
                  <w:divBdr>
                    <w:top w:val="none" w:sz="0" w:space="0" w:color="auto"/>
                    <w:left w:val="none" w:sz="0" w:space="0" w:color="auto"/>
                    <w:bottom w:val="none" w:sz="0" w:space="0" w:color="auto"/>
                    <w:right w:val="none" w:sz="0" w:space="0" w:color="auto"/>
                  </w:divBdr>
                  <w:divsChild>
                    <w:div w:id="1241215309">
                      <w:marLeft w:val="0"/>
                      <w:marRight w:val="0"/>
                      <w:marTop w:val="0"/>
                      <w:marBottom w:val="0"/>
                      <w:divBdr>
                        <w:top w:val="none" w:sz="0" w:space="0" w:color="auto"/>
                        <w:left w:val="none" w:sz="0" w:space="0" w:color="auto"/>
                        <w:bottom w:val="none" w:sz="0" w:space="0" w:color="auto"/>
                        <w:right w:val="none" w:sz="0" w:space="0" w:color="auto"/>
                      </w:divBdr>
                    </w:div>
                    <w:div w:id="1387333433">
                      <w:marLeft w:val="0"/>
                      <w:marRight w:val="0"/>
                      <w:marTop w:val="0"/>
                      <w:marBottom w:val="0"/>
                      <w:divBdr>
                        <w:top w:val="none" w:sz="0" w:space="0" w:color="auto"/>
                        <w:left w:val="none" w:sz="0" w:space="0" w:color="auto"/>
                        <w:bottom w:val="none" w:sz="0" w:space="0" w:color="auto"/>
                        <w:right w:val="none" w:sz="0" w:space="0" w:color="auto"/>
                      </w:divBdr>
                    </w:div>
                    <w:div w:id="406420005">
                      <w:marLeft w:val="0"/>
                      <w:marRight w:val="0"/>
                      <w:marTop w:val="0"/>
                      <w:marBottom w:val="0"/>
                      <w:divBdr>
                        <w:top w:val="none" w:sz="0" w:space="0" w:color="auto"/>
                        <w:left w:val="none" w:sz="0" w:space="0" w:color="auto"/>
                        <w:bottom w:val="none" w:sz="0" w:space="0" w:color="auto"/>
                        <w:right w:val="none" w:sz="0" w:space="0" w:color="auto"/>
                      </w:divBdr>
                    </w:div>
                    <w:div w:id="477190672">
                      <w:marLeft w:val="0"/>
                      <w:marRight w:val="0"/>
                      <w:marTop w:val="0"/>
                      <w:marBottom w:val="0"/>
                      <w:divBdr>
                        <w:top w:val="none" w:sz="0" w:space="0" w:color="auto"/>
                        <w:left w:val="none" w:sz="0" w:space="0" w:color="auto"/>
                        <w:bottom w:val="none" w:sz="0" w:space="0" w:color="auto"/>
                        <w:right w:val="none" w:sz="0" w:space="0" w:color="auto"/>
                      </w:divBdr>
                    </w:div>
                    <w:div w:id="875889921">
                      <w:marLeft w:val="0"/>
                      <w:marRight w:val="0"/>
                      <w:marTop w:val="0"/>
                      <w:marBottom w:val="0"/>
                      <w:divBdr>
                        <w:top w:val="none" w:sz="0" w:space="0" w:color="auto"/>
                        <w:left w:val="none" w:sz="0" w:space="0" w:color="auto"/>
                        <w:bottom w:val="none" w:sz="0" w:space="0" w:color="auto"/>
                        <w:right w:val="none" w:sz="0" w:space="0" w:color="auto"/>
                      </w:divBdr>
                    </w:div>
                    <w:div w:id="1854148559">
                      <w:marLeft w:val="0"/>
                      <w:marRight w:val="0"/>
                      <w:marTop w:val="0"/>
                      <w:marBottom w:val="0"/>
                      <w:divBdr>
                        <w:top w:val="none" w:sz="0" w:space="0" w:color="auto"/>
                        <w:left w:val="none" w:sz="0" w:space="0" w:color="auto"/>
                        <w:bottom w:val="none" w:sz="0" w:space="0" w:color="auto"/>
                        <w:right w:val="none" w:sz="0" w:space="0" w:color="auto"/>
                      </w:divBdr>
                    </w:div>
                    <w:div w:id="270868053">
                      <w:marLeft w:val="0"/>
                      <w:marRight w:val="0"/>
                      <w:marTop w:val="0"/>
                      <w:marBottom w:val="0"/>
                      <w:divBdr>
                        <w:top w:val="none" w:sz="0" w:space="0" w:color="auto"/>
                        <w:left w:val="none" w:sz="0" w:space="0" w:color="auto"/>
                        <w:bottom w:val="none" w:sz="0" w:space="0" w:color="auto"/>
                        <w:right w:val="none" w:sz="0" w:space="0" w:color="auto"/>
                      </w:divBdr>
                    </w:div>
                  </w:divsChild>
                </w:div>
                <w:div w:id="1137836684">
                  <w:marLeft w:val="0"/>
                  <w:marRight w:val="0"/>
                  <w:marTop w:val="0"/>
                  <w:marBottom w:val="0"/>
                  <w:divBdr>
                    <w:top w:val="none" w:sz="0" w:space="0" w:color="auto"/>
                    <w:left w:val="none" w:sz="0" w:space="0" w:color="auto"/>
                    <w:bottom w:val="none" w:sz="0" w:space="0" w:color="auto"/>
                    <w:right w:val="none" w:sz="0" w:space="0" w:color="auto"/>
                  </w:divBdr>
                  <w:divsChild>
                    <w:div w:id="1311137650">
                      <w:marLeft w:val="0"/>
                      <w:marRight w:val="0"/>
                      <w:marTop w:val="0"/>
                      <w:marBottom w:val="0"/>
                      <w:divBdr>
                        <w:top w:val="none" w:sz="0" w:space="0" w:color="auto"/>
                        <w:left w:val="none" w:sz="0" w:space="0" w:color="auto"/>
                        <w:bottom w:val="none" w:sz="0" w:space="0" w:color="auto"/>
                        <w:right w:val="none" w:sz="0" w:space="0" w:color="auto"/>
                      </w:divBdr>
                    </w:div>
                    <w:div w:id="1557668473">
                      <w:marLeft w:val="0"/>
                      <w:marRight w:val="0"/>
                      <w:marTop w:val="0"/>
                      <w:marBottom w:val="0"/>
                      <w:divBdr>
                        <w:top w:val="none" w:sz="0" w:space="0" w:color="auto"/>
                        <w:left w:val="none" w:sz="0" w:space="0" w:color="auto"/>
                        <w:bottom w:val="none" w:sz="0" w:space="0" w:color="auto"/>
                        <w:right w:val="none" w:sz="0" w:space="0" w:color="auto"/>
                      </w:divBdr>
                    </w:div>
                  </w:divsChild>
                </w:div>
                <w:div w:id="1747993389">
                  <w:marLeft w:val="0"/>
                  <w:marRight w:val="0"/>
                  <w:marTop w:val="0"/>
                  <w:marBottom w:val="0"/>
                  <w:divBdr>
                    <w:top w:val="none" w:sz="0" w:space="0" w:color="auto"/>
                    <w:left w:val="none" w:sz="0" w:space="0" w:color="auto"/>
                    <w:bottom w:val="none" w:sz="0" w:space="0" w:color="auto"/>
                    <w:right w:val="none" w:sz="0" w:space="0" w:color="auto"/>
                  </w:divBdr>
                  <w:divsChild>
                    <w:div w:id="931670764">
                      <w:marLeft w:val="0"/>
                      <w:marRight w:val="0"/>
                      <w:marTop w:val="0"/>
                      <w:marBottom w:val="0"/>
                      <w:divBdr>
                        <w:top w:val="none" w:sz="0" w:space="0" w:color="auto"/>
                        <w:left w:val="none" w:sz="0" w:space="0" w:color="auto"/>
                        <w:bottom w:val="none" w:sz="0" w:space="0" w:color="auto"/>
                        <w:right w:val="none" w:sz="0" w:space="0" w:color="auto"/>
                      </w:divBdr>
                    </w:div>
                    <w:div w:id="976033341">
                      <w:marLeft w:val="0"/>
                      <w:marRight w:val="0"/>
                      <w:marTop w:val="0"/>
                      <w:marBottom w:val="0"/>
                      <w:divBdr>
                        <w:top w:val="none" w:sz="0" w:space="0" w:color="auto"/>
                        <w:left w:val="none" w:sz="0" w:space="0" w:color="auto"/>
                        <w:bottom w:val="none" w:sz="0" w:space="0" w:color="auto"/>
                        <w:right w:val="none" w:sz="0" w:space="0" w:color="auto"/>
                      </w:divBdr>
                    </w:div>
                    <w:div w:id="1069228312">
                      <w:marLeft w:val="0"/>
                      <w:marRight w:val="0"/>
                      <w:marTop w:val="0"/>
                      <w:marBottom w:val="0"/>
                      <w:divBdr>
                        <w:top w:val="none" w:sz="0" w:space="0" w:color="auto"/>
                        <w:left w:val="none" w:sz="0" w:space="0" w:color="auto"/>
                        <w:bottom w:val="none" w:sz="0" w:space="0" w:color="auto"/>
                        <w:right w:val="none" w:sz="0" w:space="0" w:color="auto"/>
                      </w:divBdr>
                    </w:div>
                    <w:div w:id="761101499">
                      <w:marLeft w:val="0"/>
                      <w:marRight w:val="0"/>
                      <w:marTop w:val="0"/>
                      <w:marBottom w:val="0"/>
                      <w:divBdr>
                        <w:top w:val="none" w:sz="0" w:space="0" w:color="auto"/>
                        <w:left w:val="none" w:sz="0" w:space="0" w:color="auto"/>
                        <w:bottom w:val="none" w:sz="0" w:space="0" w:color="auto"/>
                        <w:right w:val="none" w:sz="0" w:space="0" w:color="auto"/>
                      </w:divBdr>
                    </w:div>
                    <w:div w:id="874199997">
                      <w:marLeft w:val="0"/>
                      <w:marRight w:val="0"/>
                      <w:marTop w:val="0"/>
                      <w:marBottom w:val="0"/>
                      <w:divBdr>
                        <w:top w:val="none" w:sz="0" w:space="0" w:color="auto"/>
                        <w:left w:val="none" w:sz="0" w:space="0" w:color="auto"/>
                        <w:bottom w:val="none" w:sz="0" w:space="0" w:color="auto"/>
                        <w:right w:val="none" w:sz="0" w:space="0" w:color="auto"/>
                      </w:divBdr>
                    </w:div>
                  </w:divsChild>
                </w:div>
                <w:div w:id="1330869496">
                  <w:marLeft w:val="0"/>
                  <w:marRight w:val="0"/>
                  <w:marTop w:val="0"/>
                  <w:marBottom w:val="0"/>
                  <w:divBdr>
                    <w:top w:val="none" w:sz="0" w:space="0" w:color="auto"/>
                    <w:left w:val="none" w:sz="0" w:space="0" w:color="auto"/>
                    <w:bottom w:val="none" w:sz="0" w:space="0" w:color="auto"/>
                    <w:right w:val="none" w:sz="0" w:space="0" w:color="auto"/>
                  </w:divBdr>
                  <w:divsChild>
                    <w:div w:id="595208123">
                      <w:marLeft w:val="0"/>
                      <w:marRight w:val="0"/>
                      <w:marTop w:val="0"/>
                      <w:marBottom w:val="0"/>
                      <w:divBdr>
                        <w:top w:val="none" w:sz="0" w:space="0" w:color="auto"/>
                        <w:left w:val="none" w:sz="0" w:space="0" w:color="auto"/>
                        <w:bottom w:val="none" w:sz="0" w:space="0" w:color="auto"/>
                        <w:right w:val="none" w:sz="0" w:space="0" w:color="auto"/>
                      </w:divBdr>
                    </w:div>
                    <w:div w:id="939752817">
                      <w:marLeft w:val="0"/>
                      <w:marRight w:val="0"/>
                      <w:marTop w:val="0"/>
                      <w:marBottom w:val="0"/>
                      <w:divBdr>
                        <w:top w:val="none" w:sz="0" w:space="0" w:color="auto"/>
                        <w:left w:val="none" w:sz="0" w:space="0" w:color="auto"/>
                        <w:bottom w:val="none" w:sz="0" w:space="0" w:color="auto"/>
                        <w:right w:val="none" w:sz="0" w:space="0" w:color="auto"/>
                      </w:divBdr>
                    </w:div>
                    <w:div w:id="2062051568">
                      <w:marLeft w:val="0"/>
                      <w:marRight w:val="0"/>
                      <w:marTop w:val="0"/>
                      <w:marBottom w:val="0"/>
                      <w:divBdr>
                        <w:top w:val="none" w:sz="0" w:space="0" w:color="auto"/>
                        <w:left w:val="none" w:sz="0" w:space="0" w:color="auto"/>
                        <w:bottom w:val="none" w:sz="0" w:space="0" w:color="auto"/>
                        <w:right w:val="none" w:sz="0" w:space="0" w:color="auto"/>
                      </w:divBdr>
                    </w:div>
                    <w:div w:id="1480079128">
                      <w:marLeft w:val="0"/>
                      <w:marRight w:val="0"/>
                      <w:marTop w:val="0"/>
                      <w:marBottom w:val="0"/>
                      <w:divBdr>
                        <w:top w:val="none" w:sz="0" w:space="0" w:color="auto"/>
                        <w:left w:val="none" w:sz="0" w:space="0" w:color="auto"/>
                        <w:bottom w:val="none" w:sz="0" w:space="0" w:color="auto"/>
                        <w:right w:val="none" w:sz="0" w:space="0" w:color="auto"/>
                      </w:divBdr>
                    </w:div>
                    <w:div w:id="840319554">
                      <w:marLeft w:val="0"/>
                      <w:marRight w:val="0"/>
                      <w:marTop w:val="0"/>
                      <w:marBottom w:val="0"/>
                      <w:divBdr>
                        <w:top w:val="none" w:sz="0" w:space="0" w:color="auto"/>
                        <w:left w:val="none" w:sz="0" w:space="0" w:color="auto"/>
                        <w:bottom w:val="none" w:sz="0" w:space="0" w:color="auto"/>
                        <w:right w:val="none" w:sz="0" w:space="0" w:color="auto"/>
                      </w:divBdr>
                    </w:div>
                    <w:div w:id="1887987739">
                      <w:marLeft w:val="0"/>
                      <w:marRight w:val="0"/>
                      <w:marTop w:val="0"/>
                      <w:marBottom w:val="0"/>
                      <w:divBdr>
                        <w:top w:val="none" w:sz="0" w:space="0" w:color="auto"/>
                        <w:left w:val="none" w:sz="0" w:space="0" w:color="auto"/>
                        <w:bottom w:val="none" w:sz="0" w:space="0" w:color="auto"/>
                        <w:right w:val="none" w:sz="0" w:space="0" w:color="auto"/>
                      </w:divBdr>
                    </w:div>
                    <w:div w:id="14239104">
                      <w:marLeft w:val="0"/>
                      <w:marRight w:val="0"/>
                      <w:marTop w:val="0"/>
                      <w:marBottom w:val="0"/>
                      <w:divBdr>
                        <w:top w:val="none" w:sz="0" w:space="0" w:color="auto"/>
                        <w:left w:val="none" w:sz="0" w:space="0" w:color="auto"/>
                        <w:bottom w:val="none" w:sz="0" w:space="0" w:color="auto"/>
                        <w:right w:val="none" w:sz="0" w:space="0" w:color="auto"/>
                      </w:divBdr>
                    </w:div>
                    <w:div w:id="8996082">
                      <w:marLeft w:val="0"/>
                      <w:marRight w:val="0"/>
                      <w:marTop w:val="0"/>
                      <w:marBottom w:val="0"/>
                      <w:divBdr>
                        <w:top w:val="none" w:sz="0" w:space="0" w:color="auto"/>
                        <w:left w:val="none" w:sz="0" w:space="0" w:color="auto"/>
                        <w:bottom w:val="none" w:sz="0" w:space="0" w:color="auto"/>
                        <w:right w:val="none" w:sz="0" w:space="0" w:color="auto"/>
                      </w:divBdr>
                    </w:div>
                    <w:div w:id="316811125">
                      <w:marLeft w:val="0"/>
                      <w:marRight w:val="0"/>
                      <w:marTop w:val="0"/>
                      <w:marBottom w:val="0"/>
                      <w:divBdr>
                        <w:top w:val="none" w:sz="0" w:space="0" w:color="auto"/>
                        <w:left w:val="none" w:sz="0" w:space="0" w:color="auto"/>
                        <w:bottom w:val="none" w:sz="0" w:space="0" w:color="auto"/>
                        <w:right w:val="none" w:sz="0" w:space="0" w:color="auto"/>
                      </w:divBdr>
                    </w:div>
                  </w:divsChild>
                </w:div>
                <w:div w:id="17658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5526</Words>
  <Characters>33161</Characters>
  <Application>Microsoft Office Word</Application>
  <DocSecurity>0</DocSecurity>
  <Lines>276</Lines>
  <Paragraphs>77</Paragraphs>
  <ScaleCrop>false</ScaleCrop>
  <Company>Urząd Gminy Wojsławice</Company>
  <LinksUpToDate>false</LinksUpToDate>
  <CharactersWithSpaces>38610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Mroczkowski</dc:creator>
  <cp:keywords/>
  <dc:description/>
  <cp:lastModifiedBy>Mroczkowski</cp:lastModifiedBy>
  <cp:revision>2</cp:revision>
  <dcterms:created xsi:type="dcterms:W3CDTF">2020-01-20T12:05:00Z</dcterms:created>
  <dcterms:modified xsi:type="dcterms:W3CDTF">2020-01-20T12:06:00Z</dcterms:modified>
</cp:coreProperties>
</file>